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3F8A36" w14:textId="77777777" w:rsidR="0053405F" w:rsidRPr="005F2C03" w:rsidRDefault="0053405F" w:rsidP="002C43B5">
      <w:pPr>
        <w:jc w:val="both"/>
        <w:rPr>
          <w:rFonts w:cs="Arial"/>
          <w:lang w:val="es-ES" w:eastAsia="ar-SA"/>
        </w:rPr>
      </w:pPr>
      <w:bookmarkStart w:id="0" w:name="_Hlk96067456"/>
      <w:bookmarkEnd w:id="0"/>
      <w:r w:rsidRPr="005F2C03">
        <w:rPr>
          <w:rFonts w:cs="Arial"/>
          <w:lang w:val="es-ES" w:eastAsia="ar-SA"/>
        </w:rPr>
        <w:tab/>
      </w:r>
    </w:p>
    <w:p w14:paraId="2BA5F616" w14:textId="77777777" w:rsidR="0053405F" w:rsidRPr="005F2C03" w:rsidRDefault="0053405F" w:rsidP="002C43B5">
      <w:pPr>
        <w:jc w:val="center"/>
        <w:rPr>
          <w:rFonts w:cs="Arial"/>
          <w:b/>
          <w:lang w:val="es-MX" w:eastAsia="ar-SA"/>
        </w:rPr>
      </w:pPr>
      <w:r w:rsidRPr="005F2C03">
        <w:rPr>
          <w:rFonts w:cs="Arial"/>
          <w:b/>
          <w:lang w:val="es-MX" w:eastAsia="ar-SA"/>
        </w:rPr>
        <w:t>EMPRESA DE LICORES DE CUNDINAMARCA</w:t>
      </w:r>
    </w:p>
    <w:p w14:paraId="18DE73E0" w14:textId="77777777" w:rsidR="0053405F" w:rsidRPr="005F2C03" w:rsidRDefault="0053405F" w:rsidP="002C43B5">
      <w:pPr>
        <w:jc w:val="center"/>
        <w:rPr>
          <w:rFonts w:cs="Arial"/>
          <w:b/>
          <w:lang w:val="es-MX" w:eastAsia="ar-SA"/>
        </w:rPr>
      </w:pPr>
    </w:p>
    <w:p w14:paraId="29100F99" w14:textId="77777777" w:rsidR="0053405F" w:rsidRPr="005F2C03" w:rsidRDefault="0053405F" w:rsidP="002C43B5">
      <w:pPr>
        <w:jc w:val="center"/>
        <w:rPr>
          <w:rFonts w:cs="Arial"/>
          <w:b/>
          <w:lang w:val="es-MX" w:eastAsia="ar-SA"/>
        </w:rPr>
      </w:pPr>
    </w:p>
    <w:p w14:paraId="68333566" w14:textId="15C9C1E2" w:rsidR="0053405F" w:rsidRPr="005F2C03" w:rsidRDefault="0053405F" w:rsidP="002C43B5">
      <w:pPr>
        <w:tabs>
          <w:tab w:val="left" w:pos="5070"/>
        </w:tabs>
        <w:jc w:val="center"/>
        <w:rPr>
          <w:rFonts w:cs="Arial"/>
          <w:b/>
          <w:lang w:val="es-MX" w:eastAsia="ar-SA"/>
        </w:rPr>
      </w:pPr>
    </w:p>
    <w:p w14:paraId="781FAC1A" w14:textId="721A59B4" w:rsidR="00FF7BA8" w:rsidRPr="005F2C03" w:rsidRDefault="00FF7BA8" w:rsidP="002C43B5">
      <w:pPr>
        <w:tabs>
          <w:tab w:val="left" w:pos="5070"/>
        </w:tabs>
        <w:jc w:val="center"/>
        <w:rPr>
          <w:rFonts w:cs="Arial"/>
          <w:b/>
          <w:lang w:val="es-MX" w:eastAsia="ar-SA"/>
        </w:rPr>
      </w:pPr>
    </w:p>
    <w:p w14:paraId="77F03CC2" w14:textId="5657CDBE" w:rsidR="00FF7BA8" w:rsidRPr="005F2C03" w:rsidRDefault="00FF7BA8" w:rsidP="002C43B5">
      <w:pPr>
        <w:tabs>
          <w:tab w:val="left" w:pos="5070"/>
        </w:tabs>
        <w:jc w:val="center"/>
        <w:rPr>
          <w:rFonts w:cs="Arial"/>
          <w:b/>
          <w:lang w:val="es-MX" w:eastAsia="ar-SA"/>
        </w:rPr>
      </w:pPr>
    </w:p>
    <w:p w14:paraId="017CE831" w14:textId="2FE43E13" w:rsidR="00FF7BA8" w:rsidRPr="005F2C03" w:rsidRDefault="00FF7BA8" w:rsidP="002C43B5">
      <w:pPr>
        <w:tabs>
          <w:tab w:val="left" w:pos="5070"/>
        </w:tabs>
        <w:jc w:val="center"/>
        <w:rPr>
          <w:rFonts w:cs="Arial"/>
          <w:b/>
          <w:lang w:val="es-MX" w:eastAsia="ar-SA"/>
        </w:rPr>
      </w:pPr>
    </w:p>
    <w:p w14:paraId="622E2110" w14:textId="1EB75711" w:rsidR="00FF7BA8" w:rsidRPr="005F2C03" w:rsidRDefault="00FF7BA8" w:rsidP="002C43B5">
      <w:pPr>
        <w:tabs>
          <w:tab w:val="left" w:pos="5070"/>
        </w:tabs>
        <w:jc w:val="center"/>
        <w:rPr>
          <w:rFonts w:cs="Arial"/>
          <w:b/>
          <w:lang w:val="es-MX" w:eastAsia="ar-SA"/>
        </w:rPr>
      </w:pPr>
    </w:p>
    <w:p w14:paraId="7A93E6B6" w14:textId="77777777" w:rsidR="00FF7BA8" w:rsidRPr="005F2C03" w:rsidRDefault="00FF7BA8" w:rsidP="002C43B5">
      <w:pPr>
        <w:tabs>
          <w:tab w:val="left" w:pos="5070"/>
        </w:tabs>
        <w:jc w:val="center"/>
        <w:rPr>
          <w:rFonts w:cs="Arial"/>
          <w:b/>
          <w:lang w:val="es-MX" w:eastAsia="ar-SA"/>
        </w:rPr>
      </w:pPr>
    </w:p>
    <w:p w14:paraId="0F947B93" w14:textId="77777777" w:rsidR="0053405F" w:rsidRPr="005F2C03" w:rsidRDefault="0053405F" w:rsidP="002C43B5">
      <w:pPr>
        <w:jc w:val="center"/>
        <w:rPr>
          <w:rFonts w:cs="Arial"/>
          <w:b/>
          <w:lang w:val="es-MX" w:eastAsia="ar-SA"/>
        </w:rPr>
      </w:pPr>
    </w:p>
    <w:p w14:paraId="4E5570FF" w14:textId="77777777" w:rsidR="0053405F" w:rsidRPr="005F2C03" w:rsidRDefault="0053405F" w:rsidP="002C43B5">
      <w:pPr>
        <w:jc w:val="center"/>
        <w:rPr>
          <w:rFonts w:cs="Arial"/>
          <w:b/>
          <w:lang w:val="es-MX" w:eastAsia="ar-SA"/>
        </w:rPr>
      </w:pPr>
    </w:p>
    <w:p w14:paraId="3EDCC220" w14:textId="0DF9A1FC" w:rsidR="0053405F" w:rsidRPr="005F2C03" w:rsidRDefault="00C4639A" w:rsidP="002C43B5">
      <w:pPr>
        <w:jc w:val="center"/>
        <w:rPr>
          <w:rFonts w:cs="Arial"/>
          <w:b/>
          <w:lang w:val="es-MX" w:eastAsia="ar-SA"/>
        </w:rPr>
      </w:pPr>
      <w:r w:rsidRPr="005F2C03">
        <w:rPr>
          <w:rFonts w:cs="Arial"/>
          <w:b/>
          <w:lang w:val="es-MX" w:eastAsia="ar-SA"/>
        </w:rPr>
        <w:t>ESTUDIO DEL SECTOR</w:t>
      </w:r>
    </w:p>
    <w:p w14:paraId="36101726" w14:textId="77777777" w:rsidR="0053405F" w:rsidRPr="005F2C03" w:rsidRDefault="0053405F" w:rsidP="002C43B5">
      <w:pPr>
        <w:jc w:val="center"/>
        <w:rPr>
          <w:rFonts w:cs="Arial"/>
          <w:b/>
          <w:lang w:val="es-MX" w:eastAsia="ar-SA"/>
        </w:rPr>
      </w:pPr>
    </w:p>
    <w:p w14:paraId="2254D842" w14:textId="1706D585" w:rsidR="0053405F" w:rsidRPr="005F2C03" w:rsidRDefault="0053405F" w:rsidP="002C43B5">
      <w:pPr>
        <w:jc w:val="center"/>
        <w:rPr>
          <w:rFonts w:cs="Arial"/>
          <w:b/>
          <w:lang w:val="es-MX" w:eastAsia="ar-SA"/>
        </w:rPr>
      </w:pPr>
    </w:p>
    <w:p w14:paraId="7C3A1D77" w14:textId="5C894960" w:rsidR="00FF7BA8" w:rsidRPr="005F2C03" w:rsidRDefault="00FF7BA8" w:rsidP="002C43B5">
      <w:pPr>
        <w:jc w:val="center"/>
        <w:rPr>
          <w:rFonts w:cs="Arial"/>
          <w:b/>
          <w:lang w:val="es-MX" w:eastAsia="ar-SA"/>
        </w:rPr>
      </w:pPr>
    </w:p>
    <w:p w14:paraId="19D0DE7D" w14:textId="7CF4297D" w:rsidR="00FF7BA8" w:rsidRPr="005F2C03" w:rsidRDefault="00FF7BA8" w:rsidP="002C43B5">
      <w:pPr>
        <w:jc w:val="center"/>
        <w:rPr>
          <w:rFonts w:cs="Arial"/>
          <w:b/>
          <w:lang w:val="es-MX" w:eastAsia="ar-SA"/>
        </w:rPr>
      </w:pPr>
    </w:p>
    <w:p w14:paraId="3DE89693" w14:textId="77777777" w:rsidR="00FF7BA8" w:rsidRPr="005F2C03" w:rsidRDefault="00FF7BA8" w:rsidP="002C43B5">
      <w:pPr>
        <w:jc w:val="center"/>
        <w:rPr>
          <w:rFonts w:cs="Arial"/>
          <w:b/>
          <w:lang w:val="es-MX" w:eastAsia="ar-SA"/>
        </w:rPr>
      </w:pPr>
    </w:p>
    <w:p w14:paraId="2BF93272" w14:textId="77777777" w:rsidR="0053405F" w:rsidRPr="005F2C03" w:rsidRDefault="0053405F" w:rsidP="002C43B5">
      <w:pPr>
        <w:jc w:val="center"/>
        <w:rPr>
          <w:rFonts w:cs="Arial"/>
          <w:b/>
          <w:lang w:val="es-MX" w:eastAsia="ar-SA"/>
        </w:rPr>
      </w:pPr>
    </w:p>
    <w:p w14:paraId="12110A6C" w14:textId="1E00652E" w:rsidR="0053405F" w:rsidRPr="005F2C03" w:rsidRDefault="00841316" w:rsidP="00B737D7">
      <w:pPr>
        <w:jc w:val="center"/>
        <w:rPr>
          <w:rFonts w:cs="Arial"/>
          <w:bCs/>
          <w:lang w:val="es-ES" w:eastAsia="ar-SA"/>
        </w:rPr>
      </w:pPr>
      <w:r w:rsidRPr="005F2C03">
        <w:rPr>
          <w:rFonts w:cs="Arial"/>
          <w:b/>
          <w:lang w:val="es-ES" w:eastAsia="ar-SA"/>
        </w:rPr>
        <w:t xml:space="preserve">OBJETO: </w:t>
      </w:r>
      <w:r w:rsidR="0004615B" w:rsidRPr="0004615B">
        <w:rPr>
          <w:rFonts w:cs="Arial"/>
          <w:bCs/>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CUALQUIER OTRA PÓLIZA DE SEGUROS QUE REQUIERA LA ENTIDAD EN EL DESARROLLO DE SU ACTIVIDAD</w:t>
      </w:r>
      <w:r w:rsidR="0053405F" w:rsidRPr="005F2C03">
        <w:rPr>
          <w:rFonts w:cs="Arial"/>
          <w:bCs/>
          <w:lang w:val="es-ES" w:eastAsia="ar-SA"/>
        </w:rPr>
        <w:t>.</w:t>
      </w:r>
    </w:p>
    <w:p w14:paraId="32C97DE5" w14:textId="77777777" w:rsidR="00374C87" w:rsidRPr="005F2C03" w:rsidRDefault="00374C87" w:rsidP="002C43B5">
      <w:pPr>
        <w:jc w:val="center"/>
        <w:rPr>
          <w:rFonts w:cs="Arial"/>
        </w:rPr>
      </w:pPr>
    </w:p>
    <w:p w14:paraId="76EF778E" w14:textId="1EE54A1D" w:rsidR="00374C87" w:rsidRPr="005F2C03" w:rsidRDefault="00374C87" w:rsidP="002C43B5">
      <w:pPr>
        <w:jc w:val="center"/>
        <w:rPr>
          <w:rFonts w:cs="Arial"/>
        </w:rPr>
      </w:pPr>
    </w:p>
    <w:p w14:paraId="5D5903AA" w14:textId="3AEE7563" w:rsidR="00FF7BA8" w:rsidRPr="005F2C03" w:rsidRDefault="00FF7BA8" w:rsidP="002C43B5">
      <w:pPr>
        <w:jc w:val="center"/>
        <w:rPr>
          <w:rFonts w:cs="Arial"/>
        </w:rPr>
      </w:pPr>
    </w:p>
    <w:p w14:paraId="691A2EA1" w14:textId="2C7BC442" w:rsidR="00FF7BA8" w:rsidRPr="005F2C03" w:rsidRDefault="00FF7BA8" w:rsidP="002C43B5">
      <w:pPr>
        <w:jc w:val="center"/>
        <w:rPr>
          <w:rFonts w:cs="Arial"/>
        </w:rPr>
      </w:pPr>
    </w:p>
    <w:p w14:paraId="2324F5CA" w14:textId="5BF609BE" w:rsidR="00FF7BA8" w:rsidRPr="005F2C03" w:rsidRDefault="00FF7BA8" w:rsidP="002C43B5">
      <w:pPr>
        <w:jc w:val="center"/>
        <w:rPr>
          <w:rFonts w:cs="Arial"/>
        </w:rPr>
      </w:pPr>
    </w:p>
    <w:p w14:paraId="08E0A32E" w14:textId="2CE0D76E" w:rsidR="00FF7BA8" w:rsidRPr="005F2C03" w:rsidRDefault="00FF7BA8" w:rsidP="002C43B5">
      <w:pPr>
        <w:jc w:val="center"/>
        <w:rPr>
          <w:rFonts w:cs="Arial"/>
        </w:rPr>
      </w:pPr>
    </w:p>
    <w:p w14:paraId="48B567E2" w14:textId="725F2988" w:rsidR="00FF7BA8" w:rsidRPr="005F2C03" w:rsidRDefault="00FF7BA8" w:rsidP="002C43B5">
      <w:pPr>
        <w:jc w:val="center"/>
        <w:rPr>
          <w:rFonts w:cs="Arial"/>
        </w:rPr>
      </w:pPr>
    </w:p>
    <w:p w14:paraId="47C93DD8" w14:textId="77777777" w:rsidR="00FF7BA8" w:rsidRPr="005F2C03" w:rsidRDefault="00FF7BA8" w:rsidP="002C43B5">
      <w:pPr>
        <w:jc w:val="center"/>
        <w:rPr>
          <w:rFonts w:cs="Arial"/>
        </w:rPr>
      </w:pPr>
    </w:p>
    <w:p w14:paraId="5BCA79B8" w14:textId="77777777" w:rsidR="00D517C1" w:rsidRPr="005F2C03" w:rsidRDefault="00D517C1" w:rsidP="002C43B5">
      <w:pPr>
        <w:jc w:val="center"/>
        <w:rPr>
          <w:rFonts w:cs="Arial"/>
        </w:rPr>
      </w:pPr>
    </w:p>
    <w:p w14:paraId="01AC80DB" w14:textId="77777777" w:rsidR="00374C87" w:rsidRPr="005F2C03" w:rsidRDefault="00374C87" w:rsidP="002C43B5">
      <w:pPr>
        <w:jc w:val="center"/>
        <w:rPr>
          <w:rFonts w:cs="Arial"/>
          <w:b/>
        </w:rPr>
      </w:pPr>
      <w:r w:rsidRPr="005F2C03">
        <w:rPr>
          <w:rFonts w:cs="Arial"/>
          <w:b/>
        </w:rPr>
        <w:t>COTA, CUNDINAMARCA</w:t>
      </w:r>
    </w:p>
    <w:p w14:paraId="51D81272" w14:textId="77777777" w:rsidR="00374C87" w:rsidRPr="005F2C03" w:rsidRDefault="00374C87" w:rsidP="002C43B5">
      <w:pPr>
        <w:jc w:val="center"/>
        <w:rPr>
          <w:rFonts w:cs="Arial"/>
        </w:rPr>
      </w:pPr>
    </w:p>
    <w:p w14:paraId="694884CB" w14:textId="77777777" w:rsidR="00374C87" w:rsidRPr="005F2C03" w:rsidRDefault="00374C87" w:rsidP="002C43B5">
      <w:pPr>
        <w:jc w:val="center"/>
        <w:rPr>
          <w:rFonts w:cs="Arial"/>
        </w:rPr>
      </w:pPr>
    </w:p>
    <w:p w14:paraId="1E1B4760" w14:textId="0E564FA1" w:rsidR="00D517C1" w:rsidRPr="005F2C03" w:rsidRDefault="00D517C1" w:rsidP="002C43B5">
      <w:pPr>
        <w:jc w:val="center"/>
        <w:rPr>
          <w:rFonts w:cs="Arial"/>
        </w:rPr>
      </w:pPr>
    </w:p>
    <w:p w14:paraId="203983E5" w14:textId="5985A8B4" w:rsidR="00FF7BA8" w:rsidRPr="005F2C03" w:rsidRDefault="00FF7BA8" w:rsidP="002C43B5">
      <w:pPr>
        <w:jc w:val="center"/>
        <w:rPr>
          <w:rFonts w:cs="Arial"/>
        </w:rPr>
      </w:pPr>
    </w:p>
    <w:p w14:paraId="77A5EA4A" w14:textId="3319FE1D" w:rsidR="00FF7BA8" w:rsidRPr="005F2C03" w:rsidRDefault="00FF7BA8" w:rsidP="002C43B5">
      <w:pPr>
        <w:jc w:val="center"/>
        <w:rPr>
          <w:rFonts w:cs="Arial"/>
        </w:rPr>
      </w:pPr>
    </w:p>
    <w:p w14:paraId="178DE95F" w14:textId="77777777" w:rsidR="00374C87" w:rsidRPr="005F2C03" w:rsidRDefault="00374C87" w:rsidP="002C43B5">
      <w:pPr>
        <w:jc w:val="center"/>
        <w:rPr>
          <w:rFonts w:cs="Arial"/>
        </w:rPr>
      </w:pPr>
    </w:p>
    <w:p w14:paraId="3A3E9D88" w14:textId="05D57B95" w:rsidR="00374C87" w:rsidRPr="005F2C03" w:rsidRDefault="00374C87" w:rsidP="002C43B5">
      <w:pPr>
        <w:jc w:val="center"/>
        <w:rPr>
          <w:rFonts w:cs="Arial"/>
          <w:b/>
        </w:rPr>
      </w:pPr>
      <w:r w:rsidRPr="005F2C03">
        <w:rPr>
          <w:rFonts w:cs="Arial"/>
          <w:b/>
        </w:rPr>
        <w:t>20</w:t>
      </w:r>
      <w:r w:rsidR="00841316" w:rsidRPr="005F2C03">
        <w:rPr>
          <w:rFonts w:cs="Arial"/>
          <w:b/>
        </w:rPr>
        <w:t>2</w:t>
      </w:r>
      <w:r w:rsidR="00E83940" w:rsidRPr="005F2C03">
        <w:rPr>
          <w:rFonts w:cs="Arial"/>
          <w:b/>
        </w:rPr>
        <w:t>4</w:t>
      </w:r>
    </w:p>
    <w:p w14:paraId="0F2E30D8" w14:textId="09F73E7A" w:rsidR="00FF7BA8" w:rsidRPr="005F2C03" w:rsidRDefault="00FF7BA8" w:rsidP="002C43B5">
      <w:pPr>
        <w:rPr>
          <w:rFonts w:cs="Arial"/>
          <w:b/>
          <w:lang w:val="es-ES" w:eastAsia="ar-SA"/>
        </w:rPr>
      </w:pPr>
      <w:r w:rsidRPr="005F2C03">
        <w:rPr>
          <w:rFonts w:cs="Arial"/>
          <w:b/>
          <w:lang w:val="es-ES" w:eastAsia="ar-SA"/>
        </w:rPr>
        <w:br w:type="page"/>
      </w:r>
    </w:p>
    <w:p w14:paraId="4C7F3245" w14:textId="77777777" w:rsidR="00C4639A" w:rsidRPr="005F2C03" w:rsidRDefault="00C4639A" w:rsidP="00C4639A">
      <w:pPr>
        <w:autoSpaceDE w:val="0"/>
        <w:autoSpaceDN w:val="0"/>
        <w:adjustRightInd w:val="0"/>
        <w:jc w:val="center"/>
        <w:rPr>
          <w:bdr w:val="none" w:sz="0" w:space="0" w:color="auto" w:frame="1"/>
        </w:rPr>
      </w:pPr>
      <w:r w:rsidRPr="005F2C03">
        <w:rPr>
          <w:rFonts w:cs="Arial"/>
          <w:b/>
          <w:bCs/>
        </w:rPr>
        <w:lastRenderedPageBreak/>
        <w:t>JUSTIFICACIÓN DE LA NECESIDAD OPORTUNIDAD Y CONVENIENCIA</w:t>
      </w:r>
    </w:p>
    <w:p w14:paraId="46B8537D" w14:textId="77777777" w:rsidR="00C4639A" w:rsidRPr="005F2C03" w:rsidRDefault="00C4639A" w:rsidP="00C4639A">
      <w:pPr>
        <w:autoSpaceDE w:val="0"/>
        <w:autoSpaceDN w:val="0"/>
        <w:adjustRightInd w:val="0"/>
        <w:jc w:val="both"/>
        <w:rPr>
          <w:rFonts w:cs="Arial"/>
          <w:bCs/>
          <w:i/>
          <w:iCs/>
        </w:rPr>
      </w:pPr>
    </w:p>
    <w:p w14:paraId="2867B4C2" w14:textId="77777777" w:rsidR="00C4639A" w:rsidRPr="005F2C03" w:rsidRDefault="00C4639A" w:rsidP="00C4639A">
      <w:pPr>
        <w:autoSpaceDE w:val="0"/>
        <w:autoSpaceDN w:val="0"/>
        <w:adjustRightInd w:val="0"/>
        <w:jc w:val="both"/>
        <w:rPr>
          <w:iCs/>
          <w:bdr w:val="none" w:sz="0" w:space="0" w:color="auto" w:frame="1"/>
        </w:rPr>
      </w:pPr>
      <w:r w:rsidRPr="005F2C03">
        <w:rPr>
          <w:iCs/>
          <w:bdr w:val="none" w:sz="0" w:space="0" w:color="auto" w:frame="1"/>
        </w:rPr>
        <w:t>La Subgerencia Administrativa de la Empresa de Licores de Cundinamarca requiere contratar a un intermediario de seguros que asesore de manera integral a la Empresa de Licores de Cundinamarca en el diseño, contratación y ejecución del programa de seguros, a fin de obtener la adecuada protección de las personas, bienes e intereses patrimoniales, y de aquellos por los cuales sea legalmente responsable.</w:t>
      </w:r>
    </w:p>
    <w:p w14:paraId="2D8E41DB" w14:textId="77777777" w:rsidR="00C4639A" w:rsidRPr="005F2C03" w:rsidRDefault="00C4639A" w:rsidP="00C4639A">
      <w:pPr>
        <w:pStyle w:val="Prrafodelista"/>
        <w:autoSpaceDE w:val="0"/>
        <w:autoSpaceDN w:val="0"/>
        <w:adjustRightInd w:val="0"/>
        <w:ind w:left="360"/>
        <w:jc w:val="both"/>
        <w:rPr>
          <w:iCs/>
          <w:bdr w:val="none" w:sz="0" w:space="0" w:color="auto" w:frame="1"/>
        </w:rPr>
      </w:pPr>
    </w:p>
    <w:p w14:paraId="45813E0F" w14:textId="77777777" w:rsidR="00C4639A" w:rsidRPr="005F2C03" w:rsidRDefault="00C4639A" w:rsidP="00C4639A">
      <w:pPr>
        <w:autoSpaceDE w:val="0"/>
        <w:autoSpaceDN w:val="0"/>
        <w:adjustRightInd w:val="0"/>
        <w:jc w:val="both"/>
        <w:rPr>
          <w:iCs/>
          <w:bdr w:val="none" w:sz="0" w:space="0" w:color="auto" w:frame="1"/>
        </w:rPr>
      </w:pPr>
      <w:r w:rsidRPr="005F2C03">
        <w:rPr>
          <w:iCs/>
          <w:bdr w:val="none" w:sz="0" w:space="0" w:color="auto" w:frame="1"/>
        </w:rPr>
        <w:t>En consideración a las disposiciones referidas, se concluye que quienes administran y tienen control sobre bienes públicos, tienen el deber adicional de mantener debidamente asegurados los bienes que conforman el patrimonio del Estado, tomando las medidas necesarias para evitar la pérdida de los mismos. En consecuencia, le corresponde al ordenador del gasto contratar con aseguradoras que operen en el País, un Programa de Seguros que cubra los riesgos posibles amparables para asegurar en las mejores condiciones posibles a los funcionarios, los bienes muebles, inmuebles e intereses patrimoniales de la Empresa y de los que legalmente sea o llegare a ser responsable, toda vez que en el caso de materializarse aquellos riesgos, comprenderían un detrimento en el Patrimonio de la Entidad y de bienes del estado, que afectaría el normal desarrollo en el cumplimiento de sus fines.</w:t>
      </w:r>
    </w:p>
    <w:p w14:paraId="0A369494" w14:textId="77777777" w:rsidR="00C4639A" w:rsidRPr="005F2C03" w:rsidRDefault="00C4639A" w:rsidP="00C4639A">
      <w:pPr>
        <w:autoSpaceDE w:val="0"/>
        <w:autoSpaceDN w:val="0"/>
        <w:adjustRightInd w:val="0"/>
        <w:jc w:val="both"/>
        <w:rPr>
          <w:iCs/>
          <w:bdr w:val="none" w:sz="0" w:space="0" w:color="auto" w:frame="1"/>
        </w:rPr>
      </w:pPr>
    </w:p>
    <w:p w14:paraId="6AEE9E0C" w14:textId="77777777" w:rsidR="00C4639A" w:rsidRPr="005F2C03" w:rsidRDefault="00C4639A" w:rsidP="00C4639A">
      <w:pPr>
        <w:jc w:val="both"/>
        <w:rPr>
          <w:rFonts w:cs="Arial"/>
        </w:rPr>
      </w:pPr>
      <w:r w:rsidRPr="005F2C03">
        <w:rPr>
          <w:rFonts w:cs="Arial"/>
        </w:rPr>
        <w:t>En consecuencia las entidades a través de la celebración de contratos de seguros</w:t>
      </w:r>
      <w:r w:rsidRPr="005F2C03">
        <w:rPr>
          <w:rStyle w:val="Refdenotaalpie"/>
          <w:rFonts w:cs="Arial"/>
        </w:rPr>
        <w:footnoteReference w:id="1"/>
      </w:r>
      <w:r w:rsidRPr="005F2C03">
        <w:rPr>
          <w:rFonts w:cs="Arial"/>
        </w:rPr>
        <w:t xml:space="preserve"> buscan proteger su patrimonio contra la mayor cantidad de riesgos a los cuales se encuentra expuesto, pues en virtud de éste, una persona jurídica llamada asegurador, asume, a cambio de una prima, un riesgo que le es trasladado en este caso por una persona jurídica llamado tomador el cual tiene un interés asegurable y en donde se busca una indemnización en el evento de que ocurra la realización del riesgo amparado y de esta forma se garantiza la protección adecuada del patrimonio contra mayor cantidad de riesgos a los cuales se encuentra expuesto.</w:t>
      </w:r>
    </w:p>
    <w:p w14:paraId="5F32199C" w14:textId="77777777" w:rsidR="00C4639A" w:rsidRPr="005F2C03" w:rsidRDefault="00C4639A" w:rsidP="00C4639A">
      <w:pPr>
        <w:jc w:val="both"/>
        <w:rPr>
          <w:rFonts w:cs="Arial"/>
        </w:rPr>
      </w:pPr>
    </w:p>
    <w:p w14:paraId="200D5B34" w14:textId="77777777" w:rsidR="00C4639A" w:rsidRPr="005F2C03" w:rsidRDefault="00C4639A" w:rsidP="00C4639A">
      <w:pPr>
        <w:jc w:val="both"/>
        <w:rPr>
          <w:rFonts w:cs="Arial"/>
          <w:b/>
          <w:bCs/>
        </w:rPr>
      </w:pPr>
      <w:r w:rsidRPr="005F2C03">
        <w:rPr>
          <w:rFonts w:cs="Arial"/>
        </w:rPr>
        <w:t>Lo anterior, de conformidad con lo dispuesto en el título quinto del libro cuarto del Código de Comercio. Así mismo, las siguientes normas disponen:</w:t>
      </w:r>
    </w:p>
    <w:p w14:paraId="3B709216" w14:textId="77777777" w:rsidR="00C4639A" w:rsidRPr="005F2C03" w:rsidRDefault="00C4639A" w:rsidP="00C4639A">
      <w:pPr>
        <w:pStyle w:val="Textoindependiente"/>
        <w:rPr>
          <w:rFonts w:ascii="Arial Narrow" w:hAnsi="Arial Narrow" w:cs="Arial"/>
          <w:b/>
          <w:bCs/>
          <w:sz w:val="22"/>
          <w:szCs w:val="22"/>
        </w:rPr>
      </w:pPr>
    </w:p>
    <w:p w14:paraId="68A138AC" w14:textId="77777777" w:rsidR="00C4639A" w:rsidRPr="005F2C03" w:rsidRDefault="00C4639A" w:rsidP="00C4639A">
      <w:pPr>
        <w:jc w:val="both"/>
        <w:rPr>
          <w:rFonts w:cs="Arial"/>
          <w:i/>
        </w:rPr>
      </w:pPr>
      <w:r w:rsidRPr="005F2C03">
        <w:rPr>
          <w:rFonts w:cs="Arial"/>
        </w:rPr>
        <w:t>Artículo 2 de la Constitución Política de Colombia, establece que son fines esenciales</w:t>
      </w:r>
      <w:r w:rsidRPr="005F2C03">
        <w:rPr>
          <w:rFonts w:cs="Arial"/>
          <w:spacing w:val="1"/>
        </w:rPr>
        <w:t xml:space="preserve"> </w:t>
      </w:r>
      <w:r w:rsidRPr="005F2C03">
        <w:rPr>
          <w:rFonts w:cs="Arial"/>
        </w:rPr>
        <w:t>del</w:t>
      </w:r>
      <w:r w:rsidRPr="005F2C03">
        <w:rPr>
          <w:rFonts w:cs="Arial"/>
          <w:spacing w:val="1"/>
        </w:rPr>
        <w:t xml:space="preserve"> </w:t>
      </w:r>
      <w:r w:rsidRPr="005F2C03">
        <w:rPr>
          <w:rFonts w:cs="Arial"/>
        </w:rPr>
        <w:t>Estado:</w:t>
      </w:r>
      <w:r w:rsidRPr="005F2C03">
        <w:rPr>
          <w:rFonts w:cs="Arial"/>
          <w:spacing w:val="1"/>
        </w:rPr>
        <w:t xml:space="preserve"> </w:t>
      </w:r>
      <w:r w:rsidRPr="005F2C03">
        <w:rPr>
          <w:rFonts w:cs="Arial"/>
          <w:i/>
        </w:rPr>
        <w:t>“servir</w:t>
      </w:r>
      <w:r w:rsidRPr="005F2C03">
        <w:rPr>
          <w:rFonts w:cs="Arial"/>
          <w:i/>
          <w:spacing w:val="1"/>
        </w:rPr>
        <w:t xml:space="preserve"> </w:t>
      </w:r>
      <w:r w:rsidRPr="005F2C03">
        <w:rPr>
          <w:rFonts w:cs="Arial"/>
          <w:i/>
        </w:rPr>
        <w:t>a</w:t>
      </w:r>
      <w:r w:rsidRPr="005F2C03">
        <w:rPr>
          <w:rFonts w:cs="Arial"/>
          <w:i/>
          <w:spacing w:val="1"/>
        </w:rPr>
        <w:t xml:space="preserve"> </w:t>
      </w:r>
      <w:r w:rsidRPr="005F2C03">
        <w:rPr>
          <w:rFonts w:cs="Arial"/>
          <w:i/>
        </w:rPr>
        <w:t>la</w:t>
      </w:r>
      <w:r w:rsidRPr="005F2C03">
        <w:rPr>
          <w:rFonts w:cs="Arial"/>
          <w:i/>
          <w:spacing w:val="1"/>
        </w:rPr>
        <w:t xml:space="preserve"> </w:t>
      </w:r>
      <w:r w:rsidRPr="005F2C03">
        <w:rPr>
          <w:rFonts w:cs="Arial"/>
          <w:i/>
        </w:rPr>
        <w:t>comunidad,</w:t>
      </w:r>
      <w:r w:rsidRPr="005F2C03">
        <w:rPr>
          <w:rFonts w:cs="Arial"/>
          <w:i/>
          <w:spacing w:val="1"/>
        </w:rPr>
        <w:t xml:space="preserve"> </w:t>
      </w:r>
      <w:r w:rsidRPr="005F2C03">
        <w:rPr>
          <w:rFonts w:cs="Arial"/>
          <w:i/>
        </w:rPr>
        <w:t>promover</w:t>
      </w:r>
      <w:r w:rsidRPr="005F2C03">
        <w:rPr>
          <w:rFonts w:cs="Arial"/>
          <w:i/>
          <w:spacing w:val="1"/>
        </w:rPr>
        <w:t xml:space="preserve"> </w:t>
      </w:r>
      <w:r w:rsidRPr="005F2C03">
        <w:rPr>
          <w:rFonts w:cs="Arial"/>
          <w:i/>
        </w:rPr>
        <w:t>la</w:t>
      </w:r>
      <w:r w:rsidRPr="005F2C03">
        <w:rPr>
          <w:rFonts w:cs="Arial"/>
          <w:i/>
          <w:spacing w:val="1"/>
        </w:rPr>
        <w:t xml:space="preserve"> </w:t>
      </w:r>
      <w:r w:rsidRPr="005F2C03">
        <w:rPr>
          <w:rFonts w:cs="Arial"/>
          <w:i/>
        </w:rPr>
        <w:t>prosperidad</w:t>
      </w:r>
      <w:r w:rsidRPr="005F2C03">
        <w:rPr>
          <w:rFonts w:cs="Arial"/>
          <w:i/>
          <w:spacing w:val="1"/>
        </w:rPr>
        <w:t xml:space="preserve"> </w:t>
      </w:r>
      <w:r w:rsidRPr="005F2C03">
        <w:rPr>
          <w:rFonts w:cs="Arial"/>
          <w:i/>
        </w:rPr>
        <w:t>general</w:t>
      </w:r>
      <w:r w:rsidRPr="005F2C03">
        <w:rPr>
          <w:rFonts w:cs="Arial"/>
          <w:i/>
          <w:spacing w:val="1"/>
        </w:rPr>
        <w:t xml:space="preserve"> </w:t>
      </w:r>
      <w:r w:rsidRPr="005F2C03">
        <w:rPr>
          <w:rFonts w:cs="Arial"/>
          <w:i/>
        </w:rPr>
        <w:t>y</w:t>
      </w:r>
      <w:r w:rsidRPr="005F2C03">
        <w:rPr>
          <w:rFonts w:cs="Arial"/>
          <w:i/>
          <w:spacing w:val="1"/>
        </w:rPr>
        <w:t xml:space="preserve"> </w:t>
      </w:r>
      <w:r w:rsidRPr="005F2C03">
        <w:rPr>
          <w:rFonts w:cs="Arial"/>
          <w:i/>
        </w:rPr>
        <w:t>garantizar</w:t>
      </w:r>
      <w:r w:rsidRPr="005F2C03">
        <w:rPr>
          <w:rFonts w:cs="Arial"/>
          <w:i/>
          <w:spacing w:val="1"/>
        </w:rPr>
        <w:t xml:space="preserve"> </w:t>
      </w:r>
      <w:r w:rsidRPr="005F2C03">
        <w:rPr>
          <w:rFonts w:cs="Arial"/>
          <w:i/>
        </w:rPr>
        <w:t>la</w:t>
      </w:r>
      <w:r w:rsidRPr="005F2C03">
        <w:rPr>
          <w:rFonts w:cs="Arial"/>
          <w:i/>
          <w:spacing w:val="1"/>
        </w:rPr>
        <w:t xml:space="preserve"> </w:t>
      </w:r>
      <w:r w:rsidRPr="005F2C03">
        <w:rPr>
          <w:rFonts w:cs="Arial"/>
          <w:i/>
        </w:rPr>
        <w:t>efectividad de los principios, derechos y deberes consagrados en la Constitución, entre</w:t>
      </w:r>
      <w:r w:rsidRPr="005F2C03">
        <w:rPr>
          <w:rFonts w:cs="Arial"/>
          <w:i/>
          <w:spacing w:val="1"/>
        </w:rPr>
        <w:t xml:space="preserve"> </w:t>
      </w:r>
      <w:r w:rsidRPr="005F2C03">
        <w:rPr>
          <w:rFonts w:cs="Arial"/>
          <w:i/>
        </w:rPr>
        <w:t>otros”.</w:t>
      </w:r>
    </w:p>
    <w:p w14:paraId="0C0800CB" w14:textId="77777777" w:rsidR="00C4639A" w:rsidRPr="005F2C03" w:rsidRDefault="00C4639A" w:rsidP="00C4639A">
      <w:pPr>
        <w:autoSpaceDE w:val="0"/>
        <w:autoSpaceDN w:val="0"/>
        <w:adjustRightInd w:val="0"/>
        <w:jc w:val="both"/>
        <w:rPr>
          <w:iCs/>
          <w:bdr w:val="none" w:sz="0" w:space="0" w:color="auto" w:frame="1"/>
        </w:rPr>
      </w:pPr>
    </w:p>
    <w:p w14:paraId="2A132B36" w14:textId="77777777" w:rsidR="00C4639A" w:rsidRPr="005F2C03" w:rsidRDefault="00C4639A" w:rsidP="00C4639A">
      <w:pPr>
        <w:pStyle w:val="Textoindependiente"/>
        <w:rPr>
          <w:rFonts w:ascii="Arial Narrow" w:hAnsi="Arial Narrow" w:cs="Arial"/>
          <w:sz w:val="22"/>
          <w:szCs w:val="22"/>
        </w:rPr>
      </w:pPr>
      <w:r w:rsidRPr="005F2C03">
        <w:rPr>
          <w:rFonts w:ascii="Arial Narrow" w:hAnsi="Arial Narrow" w:cs="Arial"/>
          <w:sz w:val="22"/>
          <w:szCs w:val="22"/>
        </w:rPr>
        <w:t>LEY 45 DE 1990</w:t>
      </w:r>
    </w:p>
    <w:p w14:paraId="3C6D8AB0" w14:textId="77777777" w:rsidR="00C4639A" w:rsidRPr="005F2C03" w:rsidRDefault="00C4639A" w:rsidP="00C4639A">
      <w:pPr>
        <w:pStyle w:val="Textoindependiente"/>
        <w:ind w:left="708"/>
        <w:rPr>
          <w:rFonts w:ascii="Arial Narrow" w:hAnsi="Arial Narrow" w:cs="Arial"/>
          <w:sz w:val="22"/>
          <w:szCs w:val="22"/>
        </w:rPr>
      </w:pPr>
      <w:r w:rsidRPr="005F2C03">
        <w:rPr>
          <w:rFonts w:ascii="Arial Narrow" w:hAnsi="Arial Narrow" w:cs="Arial"/>
          <w:sz w:val="22"/>
          <w:szCs w:val="22"/>
        </w:rPr>
        <w:t>Artículo 62: “</w:t>
      </w:r>
      <w:r w:rsidRPr="005F2C03">
        <w:rPr>
          <w:rFonts w:ascii="Arial Narrow" w:hAnsi="Arial Narrow" w:cs="Arial"/>
          <w:i/>
          <w:sz w:val="22"/>
          <w:szCs w:val="22"/>
        </w:rPr>
        <w:t>Todos los seguros requeridos para una adecuada protección de los intereses patrimoniales de las entidades públicas y de los bienes pertenecientes a las mismas, o de los cuales sean legalmente responsables, se contratarán con cualquiera de las compañías de seguros legalmente autorizadas para funcionar en el país. Los representantes legales, las juntas y consejos directivos de las entidades oficiales serán responsables de que la contratación se efectúe con entidades aseguradoras que ofrezcan adecuadas condiciones en materia de solvencia, coberturas y precios”.</w:t>
      </w:r>
    </w:p>
    <w:p w14:paraId="516E5422" w14:textId="77777777" w:rsidR="00C4639A" w:rsidRPr="005F2C03" w:rsidRDefault="00C4639A" w:rsidP="00C4639A">
      <w:pPr>
        <w:pStyle w:val="Ttulo1"/>
        <w:jc w:val="both"/>
        <w:rPr>
          <w:rFonts w:cs="Arial"/>
          <w:szCs w:val="22"/>
        </w:rPr>
      </w:pPr>
      <w:r w:rsidRPr="005F2C03">
        <w:rPr>
          <w:rFonts w:cs="Arial"/>
          <w:szCs w:val="22"/>
        </w:rPr>
        <w:lastRenderedPageBreak/>
        <w:t xml:space="preserve">LEY 42 DE 1993, por medio de la cual se </w:t>
      </w:r>
      <w:r w:rsidRPr="005F2C03">
        <w:rPr>
          <w:rFonts w:cs="Arial"/>
          <w:szCs w:val="22"/>
          <w:lang w:eastAsia="es-CO"/>
        </w:rPr>
        <w:t>regula la organización del sistema de control fiscal y financiero y los organismos que lo ejercen.</w:t>
      </w:r>
    </w:p>
    <w:p w14:paraId="109E8029" w14:textId="77777777" w:rsidR="00C4639A" w:rsidRPr="005F2C03" w:rsidRDefault="00C4639A" w:rsidP="00C4639A">
      <w:pPr>
        <w:pStyle w:val="Ttulo1"/>
        <w:ind w:left="708"/>
        <w:jc w:val="both"/>
        <w:rPr>
          <w:rFonts w:cs="Arial"/>
          <w:szCs w:val="22"/>
        </w:rPr>
      </w:pPr>
      <w:r w:rsidRPr="005F2C03">
        <w:rPr>
          <w:rFonts w:cs="Arial"/>
          <w:szCs w:val="22"/>
        </w:rPr>
        <w:t>Artículo 107: “</w:t>
      </w:r>
      <w:r w:rsidRPr="005F2C03">
        <w:rPr>
          <w:rFonts w:cs="Arial"/>
          <w:i/>
          <w:szCs w:val="22"/>
        </w:rPr>
        <w:t>Los órganos de control fiscal verificarán que los bienes del Estado estén</w:t>
      </w:r>
      <w:r w:rsidRPr="005F2C03">
        <w:rPr>
          <w:rFonts w:cs="Arial"/>
          <w:i/>
          <w:spacing w:val="1"/>
          <w:szCs w:val="22"/>
        </w:rPr>
        <w:t xml:space="preserve"> </w:t>
      </w:r>
      <w:r w:rsidRPr="005F2C03">
        <w:rPr>
          <w:rFonts w:cs="Arial"/>
          <w:i/>
          <w:szCs w:val="22"/>
        </w:rPr>
        <w:t>debidamente amparados por una póliza de seguros o un fondo especial creado para</w:t>
      </w:r>
      <w:r w:rsidRPr="005F2C03">
        <w:rPr>
          <w:rFonts w:cs="Arial"/>
          <w:i/>
          <w:spacing w:val="1"/>
          <w:szCs w:val="22"/>
        </w:rPr>
        <w:t xml:space="preserve"> </w:t>
      </w:r>
      <w:r w:rsidRPr="005F2C03">
        <w:rPr>
          <w:rFonts w:cs="Arial"/>
          <w:i/>
          <w:szCs w:val="22"/>
        </w:rPr>
        <w:t>tal</w:t>
      </w:r>
      <w:r w:rsidRPr="005F2C03">
        <w:rPr>
          <w:rFonts w:cs="Arial"/>
          <w:i/>
          <w:spacing w:val="1"/>
          <w:szCs w:val="22"/>
        </w:rPr>
        <w:t xml:space="preserve"> </w:t>
      </w:r>
      <w:r w:rsidRPr="005F2C03">
        <w:rPr>
          <w:rFonts w:cs="Arial"/>
          <w:i/>
          <w:szCs w:val="22"/>
        </w:rPr>
        <w:t>fin,</w:t>
      </w:r>
      <w:r w:rsidRPr="005F2C03">
        <w:rPr>
          <w:rFonts w:cs="Arial"/>
          <w:i/>
          <w:spacing w:val="1"/>
          <w:szCs w:val="22"/>
        </w:rPr>
        <w:t xml:space="preserve"> </w:t>
      </w:r>
      <w:r w:rsidRPr="005F2C03">
        <w:rPr>
          <w:rFonts w:cs="Arial"/>
          <w:i/>
          <w:szCs w:val="22"/>
        </w:rPr>
        <w:t>pudiendo</w:t>
      </w:r>
      <w:r w:rsidRPr="005F2C03">
        <w:rPr>
          <w:rFonts w:cs="Arial"/>
          <w:i/>
          <w:spacing w:val="1"/>
          <w:szCs w:val="22"/>
        </w:rPr>
        <w:t xml:space="preserve"> </w:t>
      </w:r>
      <w:r w:rsidRPr="005F2C03">
        <w:rPr>
          <w:rFonts w:cs="Arial"/>
          <w:i/>
          <w:szCs w:val="22"/>
        </w:rPr>
        <w:t>establecer</w:t>
      </w:r>
      <w:r w:rsidRPr="005F2C03">
        <w:rPr>
          <w:rFonts w:cs="Arial"/>
          <w:i/>
          <w:spacing w:val="1"/>
          <w:szCs w:val="22"/>
        </w:rPr>
        <w:t xml:space="preserve"> </w:t>
      </w:r>
      <w:r w:rsidRPr="005F2C03">
        <w:rPr>
          <w:rFonts w:cs="Arial"/>
          <w:i/>
          <w:szCs w:val="22"/>
        </w:rPr>
        <w:t>responsabilidad</w:t>
      </w:r>
      <w:r w:rsidRPr="005F2C03">
        <w:rPr>
          <w:rFonts w:cs="Arial"/>
          <w:i/>
          <w:spacing w:val="1"/>
          <w:szCs w:val="22"/>
        </w:rPr>
        <w:t xml:space="preserve"> </w:t>
      </w:r>
      <w:r w:rsidRPr="005F2C03">
        <w:rPr>
          <w:rFonts w:cs="Arial"/>
          <w:i/>
          <w:szCs w:val="22"/>
        </w:rPr>
        <w:t>fiscal</w:t>
      </w:r>
      <w:r w:rsidRPr="005F2C03">
        <w:rPr>
          <w:rFonts w:cs="Arial"/>
          <w:i/>
          <w:spacing w:val="1"/>
          <w:szCs w:val="22"/>
        </w:rPr>
        <w:t xml:space="preserve"> </w:t>
      </w:r>
      <w:r w:rsidRPr="005F2C03">
        <w:rPr>
          <w:rFonts w:cs="Arial"/>
          <w:i/>
          <w:szCs w:val="22"/>
        </w:rPr>
        <w:t>a</w:t>
      </w:r>
      <w:r w:rsidRPr="005F2C03">
        <w:rPr>
          <w:rFonts w:cs="Arial"/>
          <w:i/>
          <w:spacing w:val="1"/>
          <w:szCs w:val="22"/>
        </w:rPr>
        <w:t xml:space="preserve"> </w:t>
      </w:r>
      <w:r w:rsidRPr="005F2C03">
        <w:rPr>
          <w:rFonts w:cs="Arial"/>
          <w:i/>
          <w:szCs w:val="22"/>
        </w:rPr>
        <w:t>los</w:t>
      </w:r>
      <w:r w:rsidRPr="005F2C03">
        <w:rPr>
          <w:rFonts w:cs="Arial"/>
          <w:i/>
          <w:spacing w:val="1"/>
          <w:szCs w:val="22"/>
        </w:rPr>
        <w:t xml:space="preserve"> </w:t>
      </w:r>
      <w:r w:rsidRPr="005F2C03">
        <w:rPr>
          <w:rFonts w:cs="Arial"/>
          <w:i/>
          <w:szCs w:val="22"/>
        </w:rPr>
        <w:t>tomadores</w:t>
      </w:r>
      <w:r w:rsidRPr="005F2C03">
        <w:rPr>
          <w:rFonts w:cs="Arial"/>
          <w:i/>
          <w:spacing w:val="1"/>
          <w:szCs w:val="22"/>
        </w:rPr>
        <w:t xml:space="preserve"> </w:t>
      </w:r>
      <w:r w:rsidRPr="005F2C03">
        <w:rPr>
          <w:rFonts w:cs="Arial"/>
          <w:i/>
          <w:szCs w:val="22"/>
        </w:rPr>
        <w:t>cuando</w:t>
      </w:r>
      <w:r w:rsidRPr="005F2C03">
        <w:rPr>
          <w:rFonts w:cs="Arial"/>
          <w:i/>
          <w:spacing w:val="1"/>
          <w:szCs w:val="22"/>
        </w:rPr>
        <w:t xml:space="preserve"> </w:t>
      </w:r>
      <w:r w:rsidRPr="005F2C03">
        <w:rPr>
          <w:rFonts w:cs="Arial"/>
          <w:i/>
          <w:szCs w:val="22"/>
        </w:rPr>
        <w:t>las</w:t>
      </w:r>
      <w:r w:rsidRPr="005F2C03">
        <w:rPr>
          <w:rFonts w:cs="Arial"/>
          <w:i/>
          <w:spacing w:val="1"/>
          <w:szCs w:val="22"/>
        </w:rPr>
        <w:t xml:space="preserve"> </w:t>
      </w:r>
      <w:r w:rsidRPr="005F2C03">
        <w:rPr>
          <w:rFonts w:cs="Arial"/>
          <w:i/>
          <w:szCs w:val="22"/>
        </w:rPr>
        <w:t>circunstancias</w:t>
      </w:r>
      <w:r w:rsidRPr="005F2C03">
        <w:rPr>
          <w:rFonts w:cs="Arial"/>
          <w:i/>
          <w:spacing w:val="-3"/>
          <w:szCs w:val="22"/>
        </w:rPr>
        <w:t xml:space="preserve"> </w:t>
      </w:r>
      <w:r w:rsidRPr="005F2C03">
        <w:rPr>
          <w:rFonts w:cs="Arial"/>
          <w:i/>
          <w:szCs w:val="22"/>
        </w:rPr>
        <w:t>lo ameriten”.</w:t>
      </w:r>
    </w:p>
    <w:p w14:paraId="2BA75646" w14:textId="77777777" w:rsidR="00C4639A" w:rsidRPr="005F2C03" w:rsidRDefault="00C4639A" w:rsidP="00C4639A">
      <w:pPr>
        <w:pStyle w:val="Textoindependiente"/>
        <w:rPr>
          <w:rFonts w:ascii="Arial Narrow" w:hAnsi="Arial Narrow" w:cs="Arial"/>
          <w:b/>
          <w:sz w:val="22"/>
          <w:szCs w:val="22"/>
        </w:rPr>
      </w:pPr>
    </w:p>
    <w:p w14:paraId="4DA589CE" w14:textId="77777777" w:rsidR="00C4639A" w:rsidRPr="005F2C03" w:rsidRDefault="00C4639A" w:rsidP="00C4639A">
      <w:pPr>
        <w:jc w:val="both"/>
        <w:rPr>
          <w:rFonts w:cs="Arial"/>
          <w:bCs/>
        </w:rPr>
      </w:pPr>
      <w:r w:rsidRPr="005F2C03">
        <w:rPr>
          <w:rFonts w:cs="Arial"/>
          <w:bCs/>
        </w:rPr>
        <w:t>LEY</w:t>
      </w:r>
      <w:r w:rsidRPr="005F2C03">
        <w:rPr>
          <w:rFonts w:cs="Arial"/>
          <w:bCs/>
          <w:spacing w:val="1"/>
        </w:rPr>
        <w:t xml:space="preserve"> </w:t>
      </w:r>
      <w:r w:rsidRPr="005F2C03">
        <w:rPr>
          <w:rFonts w:cs="Arial"/>
          <w:bCs/>
        </w:rPr>
        <w:t>610</w:t>
      </w:r>
      <w:r w:rsidRPr="005F2C03">
        <w:rPr>
          <w:rFonts w:cs="Arial"/>
          <w:bCs/>
          <w:spacing w:val="1"/>
        </w:rPr>
        <w:t xml:space="preserve"> </w:t>
      </w:r>
      <w:r w:rsidRPr="005F2C03">
        <w:rPr>
          <w:rFonts w:cs="Arial"/>
          <w:bCs/>
        </w:rPr>
        <w:t>DE</w:t>
      </w:r>
      <w:r w:rsidRPr="005F2C03">
        <w:rPr>
          <w:rFonts w:cs="Arial"/>
          <w:bCs/>
          <w:spacing w:val="1"/>
        </w:rPr>
        <w:t xml:space="preserve"> </w:t>
      </w:r>
      <w:r w:rsidRPr="005F2C03">
        <w:rPr>
          <w:rFonts w:cs="Arial"/>
          <w:bCs/>
        </w:rPr>
        <w:t>2000:</w:t>
      </w:r>
      <w:r w:rsidRPr="005F2C03">
        <w:rPr>
          <w:rFonts w:cs="Arial"/>
          <w:bCs/>
          <w:spacing w:val="1"/>
        </w:rPr>
        <w:t xml:space="preserve"> P</w:t>
      </w:r>
      <w:r w:rsidRPr="005F2C03">
        <w:rPr>
          <w:rFonts w:cs="Arial"/>
          <w:bCs/>
        </w:rPr>
        <w:t>or</w:t>
      </w:r>
      <w:r w:rsidRPr="005F2C03">
        <w:rPr>
          <w:rFonts w:cs="Arial"/>
          <w:bCs/>
          <w:spacing w:val="1"/>
        </w:rPr>
        <w:t xml:space="preserve"> </w:t>
      </w:r>
      <w:r w:rsidRPr="005F2C03">
        <w:rPr>
          <w:rFonts w:cs="Arial"/>
          <w:bCs/>
        </w:rPr>
        <w:t>la</w:t>
      </w:r>
      <w:r w:rsidRPr="005F2C03">
        <w:rPr>
          <w:rFonts w:cs="Arial"/>
          <w:bCs/>
          <w:spacing w:val="1"/>
        </w:rPr>
        <w:t xml:space="preserve"> </w:t>
      </w:r>
      <w:r w:rsidRPr="005F2C03">
        <w:rPr>
          <w:rFonts w:cs="Arial"/>
          <w:bCs/>
        </w:rPr>
        <w:t>cual</w:t>
      </w:r>
      <w:r w:rsidRPr="005F2C03">
        <w:rPr>
          <w:rFonts w:cs="Arial"/>
          <w:bCs/>
          <w:spacing w:val="1"/>
        </w:rPr>
        <w:t xml:space="preserve"> </w:t>
      </w:r>
      <w:r w:rsidRPr="005F2C03">
        <w:rPr>
          <w:rFonts w:cs="Arial"/>
          <w:bCs/>
        </w:rPr>
        <w:t>se</w:t>
      </w:r>
      <w:r w:rsidRPr="005F2C03">
        <w:rPr>
          <w:rFonts w:cs="Arial"/>
          <w:bCs/>
          <w:spacing w:val="1"/>
        </w:rPr>
        <w:t xml:space="preserve"> </w:t>
      </w:r>
      <w:r w:rsidRPr="005F2C03">
        <w:rPr>
          <w:rFonts w:cs="Arial"/>
          <w:bCs/>
        </w:rPr>
        <w:t>establece</w:t>
      </w:r>
      <w:r w:rsidRPr="005F2C03">
        <w:rPr>
          <w:rFonts w:cs="Arial"/>
          <w:bCs/>
          <w:spacing w:val="1"/>
        </w:rPr>
        <w:t xml:space="preserve"> </w:t>
      </w:r>
      <w:r w:rsidRPr="005F2C03">
        <w:rPr>
          <w:rFonts w:cs="Arial"/>
          <w:bCs/>
        </w:rPr>
        <w:t>el</w:t>
      </w:r>
      <w:r w:rsidRPr="005F2C03">
        <w:rPr>
          <w:rFonts w:cs="Arial"/>
          <w:bCs/>
          <w:spacing w:val="1"/>
        </w:rPr>
        <w:t xml:space="preserve"> </w:t>
      </w:r>
      <w:r w:rsidRPr="005F2C03">
        <w:rPr>
          <w:rFonts w:cs="Arial"/>
          <w:bCs/>
        </w:rPr>
        <w:t>trámite</w:t>
      </w:r>
      <w:r w:rsidRPr="005F2C03">
        <w:rPr>
          <w:rFonts w:cs="Arial"/>
          <w:bCs/>
          <w:spacing w:val="1"/>
        </w:rPr>
        <w:t xml:space="preserve"> </w:t>
      </w:r>
      <w:r w:rsidRPr="005F2C03">
        <w:rPr>
          <w:rFonts w:cs="Arial"/>
          <w:bCs/>
        </w:rPr>
        <w:t>de</w:t>
      </w:r>
      <w:r w:rsidRPr="005F2C03">
        <w:rPr>
          <w:rFonts w:cs="Arial"/>
          <w:bCs/>
          <w:spacing w:val="1"/>
        </w:rPr>
        <w:t xml:space="preserve"> </w:t>
      </w:r>
      <w:r w:rsidRPr="005F2C03">
        <w:rPr>
          <w:rFonts w:cs="Arial"/>
          <w:bCs/>
        </w:rPr>
        <w:t>los</w:t>
      </w:r>
      <w:r w:rsidRPr="005F2C03">
        <w:rPr>
          <w:rFonts w:cs="Arial"/>
          <w:bCs/>
          <w:spacing w:val="1"/>
        </w:rPr>
        <w:t xml:space="preserve"> </w:t>
      </w:r>
      <w:r w:rsidRPr="005F2C03">
        <w:rPr>
          <w:rFonts w:cs="Arial"/>
          <w:bCs/>
        </w:rPr>
        <w:t>procesos</w:t>
      </w:r>
      <w:r w:rsidRPr="005F2C03">
        <w:rPr>
          <w:rFonts w:cs="Arial"/>
          <w:bCs/>
          <w:spacing w:val="1"/>
        </w:rPr>
        <w:t xml:space="preserve"> </w:t>
      </w:r>
      <w:r w:rsidRPr="005F2C03">
        <w:rPr>
          <w:rFonts w:cs="Arial"/>
          <w:bCs/>
        </w:rPr>
        <w:t>de</w:t>
      </w:r>
      <w:r w:rsidRPr="005F2C03">
        <w:rPr>
          <w:rFonts w:cs="Arial"/>
          <w:bCs/>
          <w:spacing w:val="1"/>
        </w:rPr>
        <w:t xml:space="preserve"> </w:t>
      </w:r>
      <w:r w:rsidRPr="005F2C03">
        <w:rPr>
          <w:rFonts w:cs="Arial"/>
          <w:bCs/>
        </w:rPr>
        <w:t>responsabilidad</w:t>
      </w:r>
      <w:r w:rsidRPr="005F2C03">
        <w:rPr>
          <w:rFonts w:cs="Arial"/>
          <w:bCs/>
          <w:spacing w:val="1"/>
        </w:rPr>
        <w:t xml:space="preserve"> </w:t>
      </w:r>
      <w:r w:rsidRPr="005F2C03">
        <w:rPr>
          <w:rFonts w:cs="Arial"/>
          <w:bCs/>
        </w:rPr>
        <w:t>fiscal</w:t>
      </w:r>
      <w:r w:rsidRPr="005F2C03">
        <w:rPr>
          <w:rFonts w:cs="Arial"/>
          <w:bCs/>
          <w:spacing w:val="50"/>
        </w:rPr>
        <w:t xml:space="preserve"> </w:t>
      </w:r>
      <w:r w:rsidRPr="005F2C03">
        <w:rPr>
          <w:rFonts w:cs="Arial"/>
          <w:bCs/>
        </w:rPr>
        <w:t>de</w:t>
      </w:r>
      <w:r w:rsidRPr="005F2C03">
        <w:rPr>
          <w:rFonts w:cs="Arial"/>
          <w:bCs/>
          <w:spacing w:val="1"/>
        </w:rPr>
        <w:t xml:space="preserve"> </w:t>
      </w:r>
      <w:r w:rsidRPr="005F2C03">
        <w:rPr>
          <w:rFonts w:cs="Arial"/>
          <w:bCs/>
        </w:rPr>
        <w:t>competencia</w:t>
      </w:r>
      <w:r w:rsidRPr="005F2C03">
        <w:rPr>
          <w:rFonts w:cs="Arial"/>
          <w:bCs/>
          <w:spacing w:val="-1"/>
        </w:rPr>
        <w:t xml:space="preserve"> </w:t>
      </w:r>
      <w:r w:rsidRPr="005F2C03">
        <w:rPr>
          <w:rFonts w:cs="Arial"/>
          <w:bCs/>
        </w:rPr>
        <w:t>de</w:t>
      </w:r>
      <w:r w:rsidRPr="005F2C03">
        <w:rPr>
          <w:rFonts w:cs="Arial"/>
          <w:bCs/>
          <w:spacing w:val="-2"/>
        </w:rPr>
        <w:t xml:space="preserve"> </w:t>
      </w:r>
      <w:r w:rsidRPr="005F2C03">
        <w:rPr>
          <w:rFonts w:cs="Arial"/>
          <w:bCs/>
        </w:rPr>
        <w:t>las</w:t>
      </w:r>
      <w:r w:rsidRPr="005F2C03">
        <w:rPr>
          <w:rFonts w:cs="Arial"/>
          <w:bCs/>
          <w:spacing w:val="-1"/>
        </w:rPr>
        <w:t xml:space="preserve"> </w:t>
      </w:r>
      <w:r w:rsidRPr="005F2C03">
        <w:rPr>
          <w:rFonts w:cs="Arial"/>
          <w:bCs/>
        </w:rPr>
        <w:t>contralorías.</w:t>
      </w:r>
    </w:p>
    <w:p w14:paraId="62A47D86" w14:textId="77777777" w:rsidR="00C4639A" w:rsidRPr="005F2C03" w:rsidRDefault="00C4639A" w:rsidP="00C4639A">
      <w:pPr>
        <w:jc w:val="both"/>
        <w:rPr>
          <w:rFonts w:cs="Arial"/>
          <w:bCs/>
        </w:rPr>
      </w:pPr>
    </w:p>
    <w:p w14:paraId="5B7067C7" w14:textId="77777777" w:rsidR="00C4639A" w:rsidRPr="005F2C03" w:rsidRDefault="00C4639A" w:rsidP="00C4639A">
      <w:pPr>
        <w:ind w:left="708"/>
        <w:jc w:val="both"/>
        <w:rPr>
          <w:rFonts w:cs="Arial"/>
          <w:bCs/>
          <w:i/>
        </w:rPr>
      </w:pPr>
      <w:r w:rsidRPr="005F2C03">
        <w:rPr>
          <w:rFonts w:cs="Arial"/>
          <w:bCs/>
        </w:rPr>
        <w:t xml:space="preserve">Artículo 1:” </w:t>
      </w:r>
      <w:r w:rsidRPr="005F2C03">
        <w:rPr>
          <w:rFonts w:cs="Arial"/>
          <w:bCs/>
          <w:i/>
          <w:iCs/>
        </w:rPr>
        <w:t>DEFINICION</w:t>
      </w:r>
      <w:r w:rsidRPr="005F2C03">
        <w:rPr>
          <w:rFonts w:cs="Arial"/>
          <w:bCs/>
        </w:rPr>
        <w:t>.</w:t>
      </w:r>
      <w:r w:rsidRPr="005F2C03">
        <w:rPr>
          <w:rFonts w:cs="Arial"/>
          <w:bCs/>
          <w:i/>
          <w:spacing w:val="1"/>
        </w:rPr>
        <w:t xml:space="preserve"> </w:t>
      </w:r>
      <w:r w:rsidRPr="005F2C03">
        <w:rPr>
          <w:rFonts w:cs="Arial"/>
          <w:bCs/>
          <w:i/>
        </w:rPr>
        <w:t>El</w:t>
      </w:r>
      <w:r w:rsidRPr="005F2C03">
        <w:rPr>
          <w:rFonts w:cs="Arial"/>
          <w:bCs/>
          <w:i/>
          <w:spacing w:val="1"/>
        </w:rPr>
        <w:t xml:space="preserve"> </w:t>
      </w:r>
      <w:r w:rsidRPr="005F2C03">
        <w:rPr>
          <w:rFonts w:cs="Arial"/>
          <w:bCs/>
          <w:i/>
        </w:rPr>
        <w:t>proceso</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responsabilidad</w:t>
      </w:r>
      <w:r w:rsidRPr="005F2C03">
        <w:rPr>
          <w:rFonts w:cs="Arial"/>
          <w:bCs/>
          <w:i/>
          <w:spacing w:val="1"/>
        </w:rPr>
        <w:t xml:space="preserve"> </w:t>
      </w:r>
      <w:r w:rsidRPr="005F2C03">
        <w:rPr>
          <w:rFonts w:cs="Arial"/>
          <w:bCs/>
          <w:i/>
        </w:rPr>
        <w:t>fiscal</w:t>
      </w:r>
      <w:r w:rsidRPr="005F2C03">
        <w:rPr>
          <w:rFonts w:cs="Arial"/>
          <w:bCs/>
          <w:i/>
          <w:spacing w:val="1"/>
        </w:rPr>
        <w:t xml:space="preserve"> </w:t>
      </w:r>
      <w:r w:rsidRPr="005F2C03">
        <w:rPr>
          <w:rFonts w:cs="Arial"/>
          <w:bCs/>
          <w:i/>
        </w:rPr>
        <w:t>es</w:t>
      </w:r>
      <w:r w:rsidRPr="005F2C03">
        <w:rPr>
          <w:rFonts w:cs="Arial"/>
          <w:bCs/>
          <w:i/>
          <w:spacing w:val="1"/>
        </w:rPr>
        <w:t xml:space="preserve"> </w:t>
      </w:r>
      <w:r w:rsidRPr="005F2C03">
        <w:rPr>
          <w:rFonts w:cs="Arial"/>
          <w:bCs/>
          <w:i/>
        </w:rPr>
        <w:t>el</w:t>
      </w:r>
      <w:r w:rsidRPr="005F2C03">
        <w:rPr>
          <w:rFonts w:cs="Arial"/>
          <w:bCs/>
          <w:i/>
          <w:spacing w:val="1"/>
        </w:rPr>
        <w:t xml:space="preserve"> </w:t>
      </w:r>
      <w:r w:rsidRPr="005F2C03">
        <w:rPr>
          <w:rFonts w:cs="Arial"/>
          <w:bCs/>
          <w:i/>
        </w:rPr>
        <w:t>conjunto</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actuaciones</w:t>
      </w:r>
      <w:r w:rsidRPr="005F2C03">
        <w:rPr>
          <w:rFonts w:cs="Arial"/>
          <w:bCs/>
          <w:i/>
          <w:spacing w:val="-47"/>
        </w:rPr>
        <w:t xml:space="preserve"> </w:t>
      </w:r>
      <w:r w:rsidRPr="005F2C03">
        <w:rPr>
          <w:rFonts w:cs="Arial"/>
          <w:bCs/>
          <w:i/>
        </w:rPr>
        <w:t>administrativas adelantadas por las Contralorías con el fin de determinar y establecer la responsabilidad</w:t>
      </w:r>
      <w:r w:rsidRPr="005F2C03">
        <w:rPr>
          <w:rFonts w:cs="Arial"/>
          <w:bCs/>
          <w:i/>
          <w:spacing w:val="1"/>
        </w:rPr>
        <w:t xml:space="preserve"> </w:t>
      </w:r>
      <w:r w:rsidRPr="005F2C03">
        <w:rPr>
          <w:rFonts w:cs="Arial"/>
          <w:bCs/>
          <w:i/>
        </w:rPr>
        <w:t>de los servidores públicos y de los particulares, cuando en el ejercicio de la gestión fiscal o con ocasión de</w:t>
      </w:r>
      <w:r w:rsidRPr="005F2C03">
        <w:rPr>
          <w:rFonts w:cs="Arial"/>
          <w:bCs/>
          <w:i/>
          <w:spacing w:val="1"/>
        </w:rPr>
        <w:t xml:space="preserve"> </w:t>
      </w:r>
      <w:r w:rsidRPr="005F2C03">
        <w:rPr>
          <w:rFonts w:cs="Arial"/>
          <w:bCs/>
          <w:i/>
        </w:rPr>
        <w:t>ésta,</w:t>
      </w:r>
      <w:r w:rsidRPr="005F2C03">
        <w:rPr>
          <w:rFonts w:cs="Arial"/>
          <w:bCs/>
          <w:i/>
          <w:spacing w:val="-1"/>
        </w:rPr>
        <w:t xml:space="preserve"> </w:t>
      </w:r>
      <w:r w:rsidRPr="005F2C03">
        <w:rPr>
          <w:rFonts w:cs="Arial"/>
          <w:bCs/>
          <w:i/>
        </w:rPr>
        <w:t>causen por</w:t>
      </w:r>
      <w:r w:rsidRPr="005F2C03">
        <w:rPr>
          <w:rFonts w:cs="Arial"/>
          <w:bCs/>
          <w:i/>
          <w:spacing w:val="-3"/>
        </w:rPr>
        <w:t xml:space="preserve"> </w:t>
      </w:r>
      <w:r w:rsidRPr="005F2C03">
        <w:rPr>
          <w:rFonts w:cs="Arial"/>
          <w:bCs/>
          <w:i/>
        </w:rPr>
        <w:t>acción</w:t>
      </w:r>
      <w:r w:rsidRPr="005F2C03">
        <w:rPr>
          <w:rFonts w:cs="Arial"/>
          <w:bCs/>
          <w:i/>
          <w:spacing w:val="-2"/>
        </w:rPr>
        <w:t xml:space="preserve"> </w:t>
      </w:r>
      <w:r w:rsidRPr="005F2C03">
        <w:rPr>
          <w:rFonts w:cs="Arial"/>
          <w:bCs/>
          <w:i/>
        </w:rPr>
        <w:t>u</w:t>
      </w:r>
      <w:r w:rsidRPr="005F2C03">
        <w:rPr>
          <w:rFonts w:cs="Arial"/>
          <w:bCs/>
          <w:i/>
          <w:spacing w:val="1"/>
        </w:rPr>
        <w:t xml:space="preserve"> </w:t>
      </w:r>
      <w:r w:rsidRPr="005F2C03">
        <w:rPr>
          <w:rFonts w:cs="Arial"/>
          <w:bCs/>
          <w:i/>
        </w:rPr>
        <w:t>omisión y en forma</w:t>
      </w:r>
      <w:r w:rsidRPr="005F2C03">
        <w:rPr>
          <w:rFonts w:cs="Arial"/>
          <w:bCs/>
          <w:i/>
          <w:spacing w:val="1"/>
        </w:rPr>
        <w:t xml:space="preserve"> </w:t>
      </w:r>
      <w:r w:rsidRPr="005F2C03">
        <w:rPr>
          <w:rFonts w:cs="Arial"/>
          <w:bCs/>
          <w:i/>
        </w:rPr>
        <w:t>dolosa o</w:t>
      </w:r>
      <w:r w:rsidRPr="005F2C03">
        <w:rPr>
          <w:rFonts w:cs="Arial"/>
          <w:bCs/>
          <w:i/>
          <w:spacing w:val="1"/>
        </w:rPr>
        <w:t xml:space="preserve"> </w:t>
      </w:r>
      <w:r w:rsidRPr="005F2C03">
        <w:rPr>
          <w:rFonts w:cs="Arial"/>
          <w:bCs/>
          <w:i/>
        </w:rPr>
        <w:t>culposa un</w:t>
      </w:r>
      <w:r w:rsidRPr="005F2C03">
        <w:rPr>
          <w:rFonts w:cs="Arial"/>
          <w:bCs/>
          <w:i/>
          <w:spacing w:val="-1"/>
        </w:rPr>
        <w:t xml:space="preserve"> </w:t>
      </w:r>
      <w:r w:rsidRPr="005F2C03">
        <w:rPr>
          <w:rFonts w:cs="Arial"/>
          <w:bCs/>
          <w:i/>
        </w:rPr>
        <w:t>daño al</w:t>
      </w:r>
      <w:r w:rsidRPr="005F2C03">
        <w:rPr>
          <w:rFonts w:cs="Arial"/>
          <w:bCs/>
          <w:i/>
          <w:spacing w:val="-1"/>
        </w:rPr>
        <w:t xml:space="preserve"> </w:t>
      </w:r>
      <w:r w:rsidRPr="005F2C03">
        <w:rPr>
          <w:rFonts w:cs="Arial"/>
          <w:bCs/>
          <w:i/>
        </w:rPr>
        <w:t>patrimonio del</w:t>
      </w:r>
      <w:r w:rsidRPr="005F2C03">
        <w:rPr>
          <w:rFonts w:cs="Arial"/>
          <w:bCs/>
          <w:i/>
          <w:spacing w:val="-2"/>
        </w:rPr>
        <w:t xml:space="preserve"> </w:t>
      </w:r>
      <w:r w:rsidRPr="005F2C03">
        <w:rPr>
          <w:rFonts w:cs="Arial"/>
          <w:bCs/>
          <w:i/>
        </w:rPr>
        <w:t>Estado”.</w:t>
      </w:r>
    </w:p>
    <w:p w14:paraId="024A1EEE" w14:textId="77777777" w:rsidR="00C4639A" w:rsidRPr="005F2C03" w:rsidRDefault="00C4639A" w:rsidP="00C4639A">
      <w:pPr>
        <w:ind w:left="708"/>
        <w:jc w:val="both"/>
        <w:rPr>
          <w:rFonts w:cs="Arial"/>
          <w:bCs/>
          <w:i/>
        </w:rPr>
      </w:pPr>
    </w:p>
    <w:p w14:paraId="70913792" w14:textId="77777777" w:rsidR="00C4639A" w:rsidRPr="005F2C03" w:rsidRDefault="00C4639A" w:rsidP="00C4639A">
      <w:pPr>
        <w:ind w:left="720"/>
        <w:jc w:val="both"/>
        <w:rPr>
          <w:rFonts w:cs="Arial"/>
          <w:bCs/>
          <w:i/>
        </w:rPr>
      </w:pPr>
      <w:r w:rsidRPr="005F2C03">
        <w:rPr>
          <w:rFonts w:cs="Arial"/>
          <w:bCs/>
        </w:rPr>
        <w:t xml:space="preserve">Artículo 2: </w:t>
      </w:r>
      <w:r w:rsidRPr="005F2C03">
        <w:rPr>
          <w:rFonts w:cs="Arial"/>
          <w:bCs/>
          <w:i/>
        </w:rPr>
        <w:t>“GESTION FISCAL. Para los efectos de la presente ley, se entiende por</w:t>
      </w:r>
      <w:r w:rsidRPr="005F2C03">
        <w:rPr>
          <w:rFonts w:cs="Arial"/>
          <w:bCs/>
          <w:i/>
          <w:spacing w:val="1"/>
        </w:rPr>
        <w:t xml:space="preserve"> </w:t>
      </w:r>
      <w:r w:rsidRPr="005F2C03">
        <w:rPr>
          <w:rFonts w:cs="Arial"/>
          <w:bCs/>
          <w:i/>
        </w:rPr>
        <w:t>gestión</w:t>
      </w:r>
      <w:r w:rsidRPr="005F2C03">
        <w:rPr>
          <w:rFonts w:cs="Arial"/>
          <w:bCs/>
          <w:i/>
          <w:spacing w:val="1"/>
        </w:rPr>
        <w:t xml:space="preserve"> </w:t>
      </w:r>
      <w:r w:rsidRPr="005F2C03">
        <w:rPr>
          <w:rFonts w:cs="Arial"/>
          <w:bCs/>
          <w:i/>
        </w:rPr>
        <w:t>fiscal</w:t>
      </w:r>
      <w:r w:rsidRPr="005F2C03">
        <w:rPr>
          <w:rFonts w:cs="Arial"/>
          <w:bCs/>
          <w:i/>
          <w:spacing w:val="1"/>
        </w:rPr>
        <w:t xml:space="preserve"> </w:t>
      </w:r>
      <w:r w:rsidRPr="005F2C03">
        <w:rPr>
          <w:rFonts w:cs="Arial"/>
          <w:bCs/>
          <w:i/>
        </w:rPr>
        <w:t>el</w:t>
      </w:r>
      <w:r w:rsidRPr="005F2C03">
        <w:rPr>
          <w:rFonts w:cs="Arial"/>
          <w:bCs/>
          <w:i/>
          <w:spacing w:val="1"/>
        </w:rPr>
        <w:t xml:space="preserve"> </w:t>
      </w:r>
      <w:r w:rsidRPr="005F2C03">
        <w:rPr>
          <w:rFonts w:cs="Arial"/>
          <w:bCs/>
          <w:i/>
        </w:rPr>
        <w:t>conjunto</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actividades</w:t>
      </w:r>
      <w:r w:rsidRPr="005F2C03">
        <w:rPr>
          <w:rFonts w:cs="Arial"/>
          <w:bCs/>
          <w:i/>
          <w:spacing w:val="1"/>
        </w:rPr>
        <w:t xml:space="preserve"> </w:t>
      </w:r>
      <w:r w:rsidRPr="005F2C03">
        <w:rPr>
          <w:rFonts w:cs="Arial"/>
          <w:bCs/>
          <w:i/>
        </w:rPr>
        <w:t>económicas,</w:t>
      </w:r>
      <w:r w:rsidRPr="005F2C03">
        <w:rPr>
          <w:rFonts w:cs="Arial"/>
          <w:bCs/>
          <w:i/>
          <w:spacing w:val="1"/>
        </w:rPr>
        <w:t xml:space="preserve"> </w:t>
      </w:r>
      <w:r w:rsidRPr="005F2C03">
        <w:rPr>
          <w:rFonts w:cs="Arial"/>
          <w:bCs/>
          <w:i/>
        </w:rPr>
        <w:t>jurídicas</w:t>
      </w:r>
      <w:r w:rsidRPr="005F2C03">
        <w:rPr>
          <w:rFonts w:cs="Arial"/>
          <w:bCs/>
          <w:i/>
          <w:spacing w:val="1"/>
        </w:rPr>
        <w:t xml:space="preserve"> </w:t>
      </w:r>
      <w:r w:rsidRPr="005F2C03">
        <w:rPr>
          <w:rFonts w:cs="Arial"/>
          <w:bCs/>
          <w:i/>
        </w:rPr>
        <w:t>y</w:t>
      </w:r>
      <w:r w:rsidRPr="005F2C03">
        <w:rPr>
          <w:rFonts w:cs="Arial"/>
          <w:bCs/>
          <w:i/>
          <w:spacing w:val="1"/>
        </w:rPr>
        <w:t xml:space="preserve"> </w:t>
      </w:r>
      <w:r w:rsidRPr="005F2C03">
        <w:rPr>
          <w:rFonts w:cs="Arial"/>
          <w:bCs/>
          <w:i/>
        </w:rPr>
        <w:t>tecnológicas,</w:t>
      </w:r>
      <w:r w:rsidRPr="005F2C03">
        <w:rPr>
          <w:rFonts w:cs="Arial"/>
          <w:bCs/>
          <w:i/>
          <w:spacing w:val="1"/>
        </w:rPr>
        <w:t xml:space="preserve"> </w:t>
      </w:r>
      <w:r w:rsidRPr="005F2C03">
        <w:rPr>
          <w:rFonts w:cs="Arial"/>
          <w:bCs/>
          <w:i/>
        </w:rPr>
        <w:t>que</w:t>
      </w:r>
      <w:r w:rsidRPr="005F2C03">
        <w:rPr>
          <w:rFonts w:cs="Arial"/>
          <w:bCs/>
          <w:i/>
          <w:spacing w:val="-59"/>
        </w:rPr>
        <w:t xml:space="preserve"> </w:t>
      </w:r>
      <w:r w:rsidRPr="005F2C03">
        <w:rPr>
          <w:rFonts w:cs="Arial"/>
          <w:bCs/>
          <w:i/>
        </w:rPr>
        <w:t>realizan los servidores públicos y las personas de derecho privado que manejen o</w:t>
      </w:r>
      <w:r w:rsidRPr="005F2C03">
        <w:rPr>
          <w:rFonts w:cs="Arial"/>
          <w:bCs/>
          <w:i/>
          <w:spacing w:val="1"/>
        </w:rPr>
        <w:t xml:space="preserve"> </w:t>
      </w:r>
      <w:r w:rsidRPr="005F2C03">
        <w:rPr>
          <w:rFonts w:cs="Arial"/>
          <w:bCs/>
          <w:i/>
        </w:rPr>
        <w:t>administren recursos o fondos públicos, tendientes a la adecuada y correcta adquisición,</w:t>
      </w:r>
      <w:r w:rsidRPr="005F2C03">
        <w:rPr>
          <w:rFonts w:cs="Arial"/>
          <w:bCs/>
          <w:i/>
          <w:spacing w:val="-59"/>
        </w:rPr>
        <w:t xml:space="preserve"> </w:t>
      </w:r>
      <w:r w:rsidRPr="005F2C03">
        <w:rPr>
          <w:rFonts w:cs="Arial"/>
          <w:bCs/>
          <w:i/>
        </w:rPr>
        <w:t>planeación, conservación, administración, custodia, explotación, enajenación, consumo,</w:t>
      </w:r>
      <w:r w:rsidRPr="005F2C03">
        <w:rPr>
          <w:rFonts w:cs="Arial"/>
          <w:bCs/>
          <w:i/>
          <w:spacing w:val="1"/>
        </w:rPr>
        <w:t xml:space="preserve"> </w:t>
      </w:r>
      <w:r w:rsidRPr="005F2C03">
        <w:rPr>
          <w:rFonts w:cs="Arial"/>
          <w:bCs/>
          <w:i/>
        </w:rPr>
        <w:t>adjudicación,</w:t>
      </w:r>
      <w:r w:rsidRPr="005F2C03">
        <w:rPr>
          <w:rFonts w:cs="Arial"/>
          <w:bCs/>
          <w:i/>
          <w:spacing w:val="1"/>
        </w:rPr>
        <w:t xml:space="preserve"> </w:t>
      </w:r>
      <w:r w:rsidRPr="005F2C03">
        <w:rPr>
          <w:rFonts w:cs="Arial"/>
          <w:bCs/>
          <w:i/>
        </w:rPr>
        <w:t>gasto,</w:t>
      </w:r>
      <w:r w:rsidRPr="005F2C03">
        <w:rPr>
          <w:rFonts w:cs="Arial"/>
          <w:bCs/>
          <w:i/>
          <w:spacing w:val="1"/>
        </w:rPr>
        <w:t xml:space="preserve"> </w:t>
      </w:r>
      <w:r w:rsidRPr="005F2C03">
        <w:rPr>
          <w:rFonts w:cs="Arial"/>
          <w:bCs/>
          <w:i/>
        </w:rPr>
        <w:t>inversión</w:t>
      </w:r>
      <w:r w:rsidRPr="005F2C03">
        <w:rPr>
          <w:rFonts w:cs="Arial"/>
          <w:bCs/>
          <w:i/>
          <w:spacing w:val="1"/>
        </w:rPr>
        <w:t xml:space="preserve"> </w:t>
      </w:r>
      <w:r w:rsidRPr="005F2C03">
        <w:rPr>
          <w:rFonts w:cs="Arial"/>
          <w:bCs/>
          <w:i/>
        </w:rPr>
        <w:t>y</w:t>
      </w:r>
      <w:r w:rsidRPr="005F2C03">
        <w:rPr>
          <w:rFonts w:cs="Arial"/>
          <w:bCs/>
          <w:i/>
          <w:spacing w:val="1"/>
        </w:rPr>
        <w:t xml:space="preserve"> </w:t>
      </w:r>
      <w:r w:rsidRPr="005F2C03">
        <w:rPr>
          <w:rFonts w:cs="Arial"/>
          <w:bCs/>
          <w:i/>
        </w:rPr>
        <w:t>disposición</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los</w:t>
      </w:r>
      <w:r w:rsidRPr="005F2C03">
        <w:rPr>
          <w:rFonts w:cs="Arial"/>
          <w:bCs/>
          <w:i/>
          <w:spacing w:val="1"/>
        </w:rPr>
        <w:t xml:space="preserve"> </w:t>
      </w:r>
      <w:r w:rsidRPr="005F2C03">
        <w:rPr>
          <w:rFonts w:cs="Arial"/>
          <w:bCs/>
          <w:i/>
        </w:rPr>
        <w:t>bienes</w:t>
      </w:r>
      <w:r w:rsidRPr="005F2C03">
        <w:rPr>
          <w:rFonts w:cs="Arial"/>
          <w:bCs/>
          <w:i/>
          <w:spacing w:val="1"/>
        </w:rPr>
        <w:t xml:space="preserve"> </w:t>
      </w:r>
      <w:r w:rsidRPr="005F2C03">
        <w:rPr>
          <w:rFonts w:cs="Arial"/>
          <w:bCs/>
          <w:i/>
        </w:rPr>
        <w:t>públicos,</w:t>
      </w:r>
      <w:r w:rsidRPr="005F2C03">
        <w:rPr>
          <w:rFonts w:cs="Arial"/>
          <w:bCs/>
          <w:i/>
          <w:spacing w:val="1"/>
        </w:rPr>
        <w:t xml:space="preserve"> </w:t>
      </w:r>
      <w:r w:rsidRPr="005F2C03">
        <w:rPr>
          <w:rFonts w:cs="Arial"/>
          <w:bCs/>
          <w:i/>
        </w:rPr>
        <w:t>así</w:t>
      </w:r>
      <w:r w:rsidRPr="005F2C03">
        <w:rPr>
          <w:rFonts w:cs="Arial"/>
          <w:bCs/>
          <w:i/>
          <w:spacing w:val="1"/>
        </w:rPr>
        <w:t xml:space="preserve"> </w:t>
      </w:r>
      <w:r w:rsidRPr="005F2C03">
        <w:rPr>
          <w:rFonts w:cs="Arial"/>
          <w:bCs/>
          <w:i/>
        </w:rPr>
        <w:t>como</w:t>
      </w:r>
      <w:r w:rsidRPr="005F2C03">
        <w:rPr>
          <w:rFonts w:cs="Arial"/>
          <w:bCs/>
          <w:i/>
          <w:spacing w:val="1"/>
        </w:rPr>
        <w:t xml:space="preserve"> </w:t>
      </w:r>
      <w:r w:rsidRPr="005F2C03">
        <w:rPr>
          <w:rFonts w:cs="Arial"/>
          <w:bCs/>
          <w:i/>
        </w:rPr>
        <w:t>a</w:t>
      </w:r>
      <w:r w:rsidRPr="005F2C03">
        <w:rPr>
          <w:rFonts w:cs="Arial"/>
          <w:bCs/>
          <w:i/>
          <w:spacing w:val="1"/>
        </w:rPr>
        <w:t xml:space="preserve"> </w:t>
      </w:r>
      <w:r w:rsidRPr="005F2C03">
        <w:rPr>
          <w:rFonts w:cs="Arial"/>
          <w:bCs/>
          <w:i/>
        </w:rPr>
        <w:t>la</w:t>
      </w:r>
      <w:r w:rsidRPr="005F2C03">
        <w:rPr>
          <w:rFonts w:cs="Arial"/>
          <w:bCs/>
          <w:i/>
          <w:spacing w:val="-59"/>
        </w:rPr>
        <w:t xml:space="preserve"> </w:t>
      </w:r>
      <w:r w:rsidRPr="005F2C03">
        <w:rPr>
          <w:rFonts w:cs="Arial"/>
          <w:bCs/>
          <w:i/>
        </w:rPr>
        <w:t>recaudación, manejo e inversión de sus rentas en orden a cumplir los fines esenciales</w:t>
      </w:r>
      <w:r w:rsidRPr="005F2C03">
        <w:rPr>
          <w:rFonts w:cs="Arial"/>
          <w:bCs/>
          <w:i/>
          <w:spacing w:val="1"/>
        </w:rPr>
        <w:t xml:space="preserve"> </w:t>
      </w:r>
      <w:r w:rsidRPr="005F2C03">
        <w:rPr>
          <w:rFonts w:cs="Arial"/>
          <w:bCs/>
          <w:i/>
        </w:rPr>
        <w:t>del Estado, con sujeción a los principios de legalidad, eficiencia, economía, eficacia,</w:t>
      </w:r>
      <w:r w:rsidRPr="005F2C03">
        <w:rPr>
          <w:rFonts w:cs="Arial"/>
          <w:bCs/>
          <w:i/>
          <w:spacing w:val="1"/>
        </w:rPr>
        <w:t xml:space="preserve"> </w:t>
      </w:r>
      <w:r w:rsidRPr="005F2C03">
        <w:rPr>
          <w:rFonts w:cs="Arial"/>
          <w:bCs/>
          <w:i/>
        </w:rPr>
        <w:t>equidad, imparcialidad, moralidad, transparencia, publicidad y valoración de los costos</w:t>
      </w:r>
      <w:r w:rsidRPr="005F2C03">
        <w:rPr>
          <w:rFonts w:cs="Arial"/>
          <w:bCs/>
          <w:i/>
          <w:spacing w:val="1"/>
        </w:rPr>
        <w:t xml:space="preserve"> </w:t>
      </w:r>
      <w:r w:rsidRPr="005F2C03">
        <w:rPr>
          <w:rFonts w:cs="Arial"/>
          <w:bCs/>
          <w:i/>
        </w:rPr>
        <w:t>ambientales”.</w:t>
      </w:r>
    </w:p>
    <w:p w14:paraId="0E0DD534" w14:textId="77777777" w:rsidR="00C4639A" w:rsidRPr="005F2C03" w:rsidRDefault="00C4639A" w:rsidP="00C4639A">
      <w:pPr>
        <w:ind w:left="720"/>
        <w:jc w:val="both"/>
        <w:rPr>
          <w:rFonts w:cs="Arial"/>
          <w:bCs/>
          <w:i/>
        </w:rPr>
      </w:pPr>
    </w:p>
    <w:p w14:paraId="43B8EB5B" w14:textId="77777777" w:rsidR="00C4639A" w:rsidRPr="005F2C03" w:rsidRDefault="00C4639A" w:rsidP="00C4639A">
      <w:pPr>
        <w:ind w:left="709"/>
        <w:jc w:val="both"/>
        <w:rPr>
          <w:rFonts w:cs="Arial"/>
          <w:bCs/>
          <w:i/>
        </w:rPr>
      </w:pPr>
      <w:r w:rsidRPr="005F2C03">
        <w:rPr>
          <w:rFonts w:cs="Arial"/>
          <w:bCs/>
        </w:rPr>
        <w:t>Artículo 4:</w:t>
      </w:r>
      <w:r w:rsidRPr="005F2C03">
        <w:rPr>
          <w:rFonts w:cs="Arial"/>
          <w:bCs/>
          <w:i/>
          <w:spacing w:val="75"/>
        </w:rPr>
        <w:t xml:space="preserve"> </w:t>
      </w:r>
      <w:r w:rsidRPr="005F2C03">
        <w:rPr>
          <w:rFonts w:cs="Arial"/>
          <w:bCs/>
          <w:i/>
        </w:rPr>
        <w:t>“OBJETO</w:t>
      </w:r>
      <w:r w:rsidRPr="005F2C03">
        <w:rPr>
          <w:rFonts w:cs="Arial"/>
          <w:bCs/>
          <w:i/>
          <w:spacing w:val="77"/>
        </w:rPr>
        <w:t xml:space="preserve"> </w:t>
      </w:r>
      <w:r w:rsidRPr="005F2C03">
        <w:rPr>
          <w:rFonts w:cs="Arial"/>
          <w:bCs/>
          <w:i/>
        </w:rPr>
        <w:t>DE</w:t>
      </w:r>
      <w:r w:rsidRPr="005F2C03">
        <w:rPr>
          <w:rFonts w:cs="Arial"/>
          <w:bCs/>
          <w:i/>
          <w:spacing w:val="77"/>
        </w:rPr>
        <w:t xml:space="preserve"> </w:t>
      </w:r>
      <w:r w:rsidRPr="005F2C03">
        <w:rPr>
          <w:rFonts w:cs="Arial"/>
          <w:bCs/>
          <w:i/>
        </w:rPr>
        <w:t>LA</w:t>
      </w:r>
      <w:r w:rsidRPr="005F2C03">
        <w:rPr>
          <w:rFonts w:cs="Arial"/>
          <w:bCs/>
          <w:i/>
          <w:spacing w:val="75"/>
        </w:rPr>
        <w:t xml:space="preserve"> </w:t>
      </w:r>
      <w:r w:rsidRPr="005F2C03">
        <w:rPr>
          <w:rFonts w:cs="Arial"/>
          <w:bCs/>
          <w:i/>
        </w:rPr>
        <w:t>RESPONSABILIDAD</w:t>
      </w:r>
      <w:r w:rsidRPr="005F2C03">
        <w:rPr>
          <w:rFonts w:cs="Arial"/>
          <w:bCs/>
          <w:i/>
          <w:spacing w:val="75"/>
        </w:rPr>
        <w:t xml:space="preserve"> </w:t>
      </w:r>
      <w:r w:rsidRPr="005F2C03">
        <w:rPr>
          <w:rFonts w:cs="Arial"/>
          <w:bCs/>
          <w:i/>
        </w:rPr>
        <w:t>FISCAL.</w:t>
      </w:r>
      <w:r w:rsidRPr="005F2C03">
        <w:rPr>
          <w:rFonts w:cs="Arial"/>
          <w:bCs/>
          <w:i/>
          <w:spacing w:val="2"/>
        </w:rPr>
        <w:t xml:space="preserve"> </w:t>
      </w:r>
      <w:r w:rsidRPr="005F2C03">
        <w:rPr>
          <w:rFonts w:cs="Arial"/>
          <w:bCs/>
          <w:i/>
        </w:rPr>
        <w:t>La</w:t>
      </w:r>
      <w:r w:rsidRPr="005F2C03">
        <w:rPr>
          <w:rFonts w:cs="Arial"/>
          <w:bCs/>
          <w:i/>
          <w:spacing w:val="73"/>
        </w:rPr>
        <w:t xml:space="preserve"> </w:t>
      </w:r>
      <w:r w:rsidRPr="005F2C03">
        <w:rPr>
          <w:rFonts w:cs="Arial"/>
          <w:bCs/>
          <w:i/>
        </w:rPr>
        <w:t>responsabilidad fiscal tiene por objeto el resarcimiento de los daños ocasionados al patrimonio público</w:t>
      </w:r>
      <w:r w:rsidRPr="005F2C03">
        <w:rPr>
          <w:rFonts w:cs="Arial"/>
          <w:bCs/>
          <w:i/>
          <w:spacing w:val="1"/>
        </w:rPr>
        <w:t xml:space="preserve"> </w:t>
      </w:r>
      <w:r w:rsidRPr="005F2C03">
        <w:rPr>
          <w:rFonts w:cs="Arial"/>
          <w:bCs/>
          <w:i/>
        </w:rPr>
        <w:t>como</w:t>
      </w:r>
      <w:r w:rsidRPr="005F2C03">
        <w:rPr>
          <w:rFonts w:cs="Arial"/>
          <w:bCs/>
          <w:i/>
          <w:spacing w:val="1"/>
        </w:rPr>
        <w:t xml:space="preserve"> </w:t>
      </w:r>
      <w:r w:rsidRPr="005F2C03">
        <w:rPr>
          <w:rFonts w:cs="Arial"/>
          <w:bCs/>
          <w:i/>
        </w:rPr>
        <w:t>consecuencia</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la</w:t>
      </w:r>
      <w:r w:rsidRPr="005F2C03">
        <w:rPr>
          <w:rFonts w:cs="Arial"/>
          <w:bCs/>
          <w:i/>
          <w:spacing w:val="1"/>
        </w:rPr>
        <w:t xml:space="preserve"> </w:t>
      </w:r>
      <w:r w:rsidRPr="005F2C03">
        <w:rPr>
          <w:rFonts w:cs="Arial"/>
          <w:bCs/>
          <w:i/>
        </w:rPr>
        <w:t>conducta</w:t>
      </w:r>
      <w:r w:rsidRPr="005F2C03">
        <w:rPr>
          <w:rFonts w:cs="Arial"/>
          <w:bCs/>
          <w:i/>
          <w:spacing w:val="1"/>
        </w:rPr>
        <w:t xml:space="preserve"> </w:t>
      </w:r>
      <w:r w:rsidRPr="005F2C03">
        <w:rPr>
          <w:rFonts w:cs="Arial"/>
          <w:bCs/>
          <w:i/>
        </w:rPr>
        <w:t>dolosa</w:t>
      </w:r>
      <w:r w:rsidRPr="005F2C03">
        <w:rPr>
          <w:rFonts w:cs="Arial"/>
          <w:bCs/>
          <w:i/>
          <w:spacing w:val="1"/>
        </w:rPr>
        <w:t xml:space="preserve"> </w:t>
      </w:r>
      <w:r w:rsidRPr="005F2C03">
        <w:rPr>
          <w:rFonts w:cs="Arial"/>
          <w:bCs/>
          <w:i/>
        </w:rPr>
        <w:t>o</w:t>
      </w:r>
      <w:r w:rsidRPr="005F2C03">
        <w:rPr>
          <w:rFonts w:cs="Arial"/>
          <w:bCs/>
          <w:i/>
          <w:spacing w:val="61"/>
        </w:rPr>
        <w:t xml:space="preserve"> </w:t>
      </w:r>
      <w:r w:rsidRPr="005F2C03">
        <w:rPr>
          <w:rFonts w:cs="Arial"/>
          <w:bCs/>
          <w:i/>
        </w:rPr>
        <w:t>culposa</w:t>
      </w:r>
      <w:r w:rsidRPr="005F2C03">
        <w:rPr>
          <w:rFonts w:cs="Arial"/>
          <w:bCs/>
          <w:i/>
          <w:spacing w:val="61"/>
        </w:rPr>
        <w:t xml:space="preserve"> </w:t>
      </w:r>
      <w:r w:rsidRPr="005F2C03">
        <w:rPr>
          <w:rFonts w:cs="Arial"/>
          <w:bCs/>
          <w:i/>
        </w:rPr>
        <w:t>de</w:t>
      </w:r>
      <w:r w:rsidRPr="005F2C03">
        <w:rPr>
          <w:rFonts w:cs="Arial"/>
          <w:bCs/>
          <w:i/>
          <w:spacing w:val="61"/>
        </w:rPr>
        <w:t xml:space="preserve"> </w:t>
      </w:r>
      <w:r w:rsidRPr="005F2C03">
        <w:rPr>
          <w:rFonts w:cs="Arial"/>
          <w:bCs/>
          <w:i/>
        </w:rPr>
        <w:t>quienes</w:t>
      </w:r>
      <w:r w:rsidRPr="005F2C03">
        <w:rPr>
          <w:rFonts w:cs="Arial"/>
          <w:bCs/>
          <w:i/>
          <w:spacing w:val="61"/>
        </w:rPr>
        <w:t xml:space="preserve"> </w:t>
      </w:r>
      <w:r w:rsidRPr="005F2C03">
        <w:rPr>
          <w:rFonts w:cs="Arial"/>
          <w:bCs/>
          <w:i/>
        </w:rPr>
        <w:t>realizan</w:t>
      </w:r>
      <w:r w:rsidRPr="005F2C03">
        <w:rPr>
          <w:rFonts w:cs="Arial"/>
          <w:bCs/>
          <w:i/>
          <w:spacing w:val="61"/>
        </w:rPr>
        <w:t xml:space="preserve"> </w:t>
      </w:r>
      <w:r w:rsidRPr="005F2C03">
        <w:rPr>
          <w:rFonts w:cs="Arial"/>
          <w:bCs/>
          <w:i/>
        </w:rPr>
        <w:t>gestión</w:t>
      </w:r>
      <w:r w:rsidRPr="005F2C03">
        <w:rPr>
          <w:rFonts w:cs="Arial"/>
          <w:bCs/>
          <w:i/>
          <w:spacing w:val="1"/>
        </w:rPr>
        <w:t xml:space="preserve"> </w:t>
      </w:r>
      <w:r w:rsidRPr="005F2C03">
        <w:rPr>
          <w:rFonts w:cs="Arial"/>
          <w:bCs/>
          <w:i/>
        </w:rPr>
        <w:t>fiscal mediante el pago de una indemnización pecuniaria que compense el perjuicio</w:t>
      </w:r>
      <w:r w:rsidRPr="005F2C03">
        <w:rPr>
          <w:rFonts w:cs="Arial"/>
          <w:bCs/>
          <w:i/>
          <w:spacing w:val="1"/>
        </w:rPr>
        <w:t xml:space="preserve"> </w:t>
      </w:r>
      <w:r w:rsidRPr="005F2C03">
        <w:rPr>
          <w:rFonts w:cs="Arial"/>
          <w:bCs/>
          <w:i/>
        </w:rPr>
        <w:t>sufrido</w:t>
      </w:r>
      <w:r w:rsidRPr="005F2C03">
        <w:rPr>
          <w:rFonts w:cs="Arial"/>
          <w:bCs/>
          <w:i/>
          <w:spacing w:val="-1"/>
        </w:rPr>
        <w:t xml:space="preserve"> </w:t>
      </w:r>
      <w:r w:rsidRPr="005F2C03">
        <w:rPr>
          <w:rFonts w:cs="Arial"/>
          <w:bCs/>
          <w:i/>
        </w:rPr>
        <w:t>por</w:t>
      </w:r>
      <w:r w:rsidRPr="005F2C03">
        <w:rPr>
          <w:rFonts w:cs="Arial"/>
          <w:bCs/>
          <w:i/>
          <w:spacing w:val="1"/>
        </w:rPr>
        <w:t xml:space="preserve"> </w:t>
      </w:r>
      <w:r w:rsidRPr="005F2C03">
        <w:rPr>
          <w:rFonts w:cs="Arial"/>
          <w:bCs/>
          <w:i/>
        </w:rPr>
        <w:t>la</w:t>
      </w:r>
      <w:r w:rsidRPr="005F2C03">
        <w:rPr>
          <w:rFonts w:cs="Arial"/>
          <w:bCs/>
          <w:i/>
          <w:spacing w:val="-2"/>
        </w:rPr>
        <w:t xml:space="preserve"> </w:t>
      </w:r>
      <w:r w:rsidRPr="005F2C03">
        <w:rPr>
          <w:rFonts w:cs="Arial"/>
          <w:bCs/>
          <w:i/>
        </w:rPr>
        <w:t>respectiva</w:t>
      </w:r>
      <w:r w:rsidRPr="005F2C03">
        <w:rPr>
          <w:rFonts w:cs="Arial"/>
          <w:bCs/>
          <w:i/>
          <w:spacing w:val="-2"/>
        </w:rPr>
        <w:t xml:space="preserve"> </w:t>
      </w:r>
      <w:r w:rsidRPr="005F2C03">
        <w:rPr>
          <w:rFonts w:cs="Arial"/>
          <w:bCs/>
          <w:i/>
        </w:rPr>
        <w:t>entidad estatal.</w:t>
      </w:r>
    </w:p>
    <w:p w14:paraId="2829D621" w14:textId="77777777" w:rsidR="00C4639A" w:rsidRPr="005F2C03" w:rsidRDefault="00C4639A" w:rsidP="00C4639A">
      <w:pPr>
        <w:ind w:left="709"/>
        <w:jc w:val="both"/>
        <w:rPr>
          <w:rFonts w:cs="Arial"/>
          <w:bCs/>
          <w:i/>
        </w:rPr>
      </w:pPr>
    </w:p>
    <w:p w14:paraId="6808822F" w14:textId="77777777" w:rsidR="00C4639A" w:rsidRPr="005F2C03" w:rsidRDefault="00C4639A" w:rsidP="00C4639A">
      <w:pPr>
        <w:ind w:left="709"/>
        <w:jc w:val="both"/>
        <w:rPr>
          <w:rFonts w:cs="Arial"/>
          <w:bCs/>
          <w:i/>
        </w:rPr>
      </w:pPr>
      <w:r w:rsidRPr="005F2C03">
        <w:rPr>
          <w:rFonts w:cs="Arial"/>
          <w:bCs/>
          <w:i/>
        </w:rPr>
        <w:t>Para el establecimiento de responsabilidad fiscal en cada caso, se tendrá en cuenta el</w:t>
      </w:r>
      <w:r w:rsidRPr="005F2C03">
        <w:rPr>
          <w:rFonts w:cs="Arial"/>
          <w:bCs/>
          <w:i/>
          <w:spacing w:val="1"/>
        </w:rPr>
        <w:t xml:space="preserve"> </w:t>
      </w:r>
      <w:r w:rsidRPr="005F2C03">
        <w:rPr>
          <w:rFonts w:cs="Arial"/>
          <w:bCs/>
          <w:i/>
        </w:rPr>
        <w:t>cumplimiento</w:t>
      </w:r>
      <w:r w:rsidRPr="005F2C03">
        <w:rPr>
          <w:rFonts w:cs="Arial"/>
          <w:bCs/>
          <w:i/>
          <w:spacing w:val="-2"/>
        </w:rPr>
        <w:t xml:space="preserve"> </w:t>
      </w:r>
      <w:r w:rsidRPr="005F2C03">
        <w:rPr>
          <w:rFonts w:cs="Arial"/>
          <w:bCs/>
          <w:i/>
        </w:rPr>
        <w:t>de</w:t>
      </w:r>
      <w:r w:rsidRPr="005F2C03">
        <w:rPr>
          <w:rFonts w:cs="Arial"/>
          <w:bCs/>
          <w:i/>
          <w:spacing w:val="-4"/>
        </w:rPr>
        <w:t xml:space="preserve"> </w:t>
      </w:r>
      <w:r w:rsidRPr="005F2C03">
        <w:rPr>
          <w:rFonts w:cs="Arial"/>
          <w:bCs/>
          <w:i/>
        </w:rPr>
        <w:t>los</w:t>
      </w:r>
      <w:r w:rsidRPr="005F2C03">
        <w:rPr>
          <w:rFonts w:cs="Arial"/>
          <w:bCs/>
          <w:i/>
          <w:spacing w:val="-1"/>
        </w:rPr>
        <w:t xml:space="preserve"> </w:t>
      </w:r>
      <w:r w:rsidRPr="005F2C03">
        <w:rPr>
          <w:rFonts w:cs="Arial"/>
          <w:bCs/>
          <w:i/>
        </w:rPr>
        <w:t>principios</w:t>
      </w:r>
      <w:r w:rsidRPr="005F2C03">
        <w:rPr>
          <w:rFonts w:cs="Arial"/>
          <w:bCs/>
          <w:i/>
          <w:spacing w:val="-2"/>
        </w:rPr>
        <w:t xml:space="preserve"> </w:t>
      </w:r>
      <w:r w:rsidRPr="005F2C03">
        <w:rPr>
          <w:rFonts w:cs="Arial"/>
          <w:bCs/>
          <w:i/>
        </w:rPr>
        <w:t>rectores</w:t>
      </w:r>
      <w:r w:rsidRPr="005F2C03">
        <w:rPr>
          <w:rFonts w:cs="Arial"/>
          <w:bCs/>
          <w:i/>
          <w:spacing w:val="-3"/>
        </w:rPr>
        <w:t xml:space="preserve"> </w:t>
      </w:r>
      <w:r w:rsidRPr="005F2C03">
        <w:rPr>
          <w:rFonts w:cs="Arial"/>
          <w:bCs/>
          <w:i/>
        </w:rPr>
        <w:t>de</w:t>
      </w:r>
      <w:r w:rsidRPr="005F2C03">
        <w:rPr>
          <w:rFonts w:cs="Arial"/>
          <w:bCs/>
          <w:i/>
          <w:spacing w:val="-2"/>
        </w:rPr>
        <w:t xml:space="preserve"> </w:t>
      </w:r>
      <w:r w:rsidRPr="005F2C03">
        <w:rPr>
          <w:rFonts w:cs="Arial"/>
          <w:bCs/>
          <w:i/>
        </w:rPr>
        <w:t>la</w:t>
      </w:r>
      <w:r w:rsidRPr="005F2C03">
        <w:rPr>
          <w:rFonts w:cs="Arial"/>
          <w:bCs/>
          <w:i/>
          <w:spacing w:val="-3"/>
        </w:rPr>
        <w:t xml:space="preserve"> </w:t>
      </w:r>
      <w:r w:rsidRPr="005F2C03">
        <w:rPr>
          <w:rFonts w:cs="Arial"/>
          <w:bCs/>
          <w:i/>
        </w:rPr>
        <w:t>función</w:t>
      </w:r>
      <w:r w:rsidRPr="005F2C03">
        <w:rPr>
          <w:rFonts w:cs="Arial"/>
          <w:bCs/>
          <w:i/>
          <w:spacing w:val="-2"/>
        </w:rPr>
        <w:t xml:space="preserve"> </w:t>
      </w:r>
      <w:r w:rsidRPr="005F2C03">
        <w:rPr>
          <w:rFonts w:cs="Arial"/>
          <w:bCs/>
          <w:i/>
        </w:rPr>
        <w:t>administrativa</w:t>
      </w:r>
      <w:r w:rsidRPr="005F2C03">
        <w:rPr>
          <w:rFonts w:cs="Arial"/>
          <w:bCs/>
          <w:i/>
          <w:spacing w:val="-2"/>
        </w:rPr>
        <w:t xml:space="preserve"> </w:t>
      </w:r>
      <w:r w:rsidRPr="005F2C03">
        <w:rPr>
          <w:rFonts w:cs="Arial"/>
          <w:bCs/>
          <w:i/>
        </w:rPr>
        <w:t>y</w:t>
      </w:r>
      <w:r w:rsidRPr="005F2C03">
        <w:rPr>
          <w:rFonts w:cs="Arial"/>
          <w:bCs/>
          <w:i/>
          <w:spacing w:val="-2"/>
        </w:rPr>
        <w:t xml:space="preserve"> </w:t>
      </w:r>
      <w:r w:rsidRPr="005F2C03">
        <w:rPr>
          <w:rFonts w:cs="Arial"/>
          <w:bCs/>
          <w:i/>
        </w:rPr>
        <w:t>de</w:t>
      </w:r>
      <w:r w:rsidRPr="005F2C03">
        <w:rPr>
          <w:rFonts w:cs="Arial"/>
          <w:bCs/>
          <w:i/>
          <w:spacing w:val="-2"/>
        </w:rPr>
        <w:t xml:space="preserve"> </w:t>
      </w:r>
      <w:r w:rsidRPr="005F2C03">
        <w:rPr>
          <w:rFonts w:cs="Arial"/>
          <w:bCs/>
          <w:i/>
        </w:rPr>
        <w:t>la</w:t>
      </w:r>
      <w:r w:rsidRPr="005F2C03">
        <w:rPr>
          <w:rFonts w:cs="Arial"/>
          <w:bCs/>
          <w:i/>
          <w:spacing w:val="-3"/>
        </w:rPr>
        <w:t xml:space="preserve"> </w:t>
      </w:r>
      <w:r w:rsidRPr="005F2C03">
        <w:rPr>
          <w:rFonts w:cs="Arial"/>
          <w:bCs/>
          <w:i/>
        </w:rPr>
        <w:t>gestión</w:t>
      </w:r>
      <w:r w:rsidRPr="005F2C03">
        <w:rPr>
          <w:rFonts w:cs="Arial"/>
          <w:bCs/>
          <w:i/>
          <w:spacing w:val="-4"/>
        </w:rPr>
        <w:t xml:space="preserve"> </w:t>
      </w:r>
      <w:r w:rsidRPr="005F2C03">
        <w:rPr>
          <w:rFonts w:cs="Arial"/>
          <w:bCs/>
          <w:i/>
        </w:rPr>
        <w:t>fiscal.</w:t>
      </w:r>
    </w:p>
    <w:p w14:paraId="297728E1" w14:textId="77777777" w:rsidR="00C4639A" w:rsidRPr="005F2C03" w:rsidRDefault="00C4639A" w:rsidP="00C4639A">
      <w:pPr>
        <w:ind w:left="709"/>
        <w:jc w:val="both"/>
        <w:rPr>
          <w:rFonts w:cs="Arial"/>
          <w:bCs/>
          <w:i/>
        </w:rPr>
      </w:pPr>
    </w:p>
    <w:p w14:paraId="5B68177A" w14:textId="77777777" w:rsidR="00C4639A" w:rsidRPr="005F2C03" w:rsidRDefault="00C4639A" w:rsidP="00C4639A">
      <w:pPr>
        <w:ind w:left="709"/>
        <w:jc w:val="both"/>
        <w:rPr>
          <w:rFonts w:cs="Arial"/>
          <w:bCs/>
          <w:i/>
        </w:rPr>
      </w:pPr>
      <w:r w:rsidRPr="005F2C03">
        <w:rPr>
          <w:rFonts w:cs="Arial"/>
          <w:bCs/>
          <w:i/>
        </w:rPr>
        <w:t>Parágrafo 1. La responsabilidad fiscal es autónoma e independiente y se entiende</w:t>
      </w:r>
      <w:r w:rsidRPr="005F2C03">
        <w:rPr>
          <w:rFonts w:cs="Arial"/>
          <w:bCs/>
          <w:i/>
          <w:spacing w:val="1"/>
        </w:rPr>
        <w:t xml:space="preserve"> </w:t>
      </w:r>
      <w:r w:rsidRPr="005F2C03">
        <w:rPr>
          <w:rFonts w:cs="Arial"/>
          <w:bCs/>
          <w:i/>
        </w:rPr>
        <w:t>sin</w:t>
      </w:r>
      <w:r w:rsidRPr="005F2C03">
        <w:rPr>
          <w:rFonts w:cs="Arial"/>
          <w:bCs/>
          <w:i/>
          <w:spacing w:val="-1"/>
        </w:rPr>
        <w:t xml:space="preserve"> </w:t>
      </w:r>
      <w:r w:rsidRPr="005F2C03">
        <w:rPr>
          <w:rFonts w:cs="Arial"/>
          <w:bCs/>
          <w:i/>
        </w:rPr>
        <w:t>perjuicio de cualquier</w:t>
      </w:r>
      <w:r w:rsidRPr="005F2C03">
        <w:rPr>
          <w:rFonts w:cs="Arial"/>
          <w:bCs/>
          <w:i/>
          <w:spacing w:val="-1"/>
        </w:rPr>
        <w:t xml:space="preserve"> </w:t>
      </w:r>
      <w:r w:rsidRPr="005F2C03">
        <w:rPr>
          <w:rFonts w:cs="Arial"/>
          <w:bCs/>
          <w:i/>
        </w:rPr>
        <w:t>otra clase</w:t>
      </w:r>
      <w:r w:rsidRPr="005F2C03">
        <w:rPr>
          <w:rFonts w:cs="Arial"/>
          <w:bCs/>
          <w:i/>
          <w:spacing w:val="-3"/>
        </w:rPr>
        <w:t xml:space="preserve"> </w:t>
      </w:r>
      <w:r w:rsidRPr="005F2C03">
        <w:rPr>
          <w:rFonts w:cs="Arial"/>
          <w:bCs/>
          <w:i/>
        </w:rPr>
        <w:t>de</w:t>
      </w:r>
      <w:r w:rsidRPr="005F2C03">
        <w:rPr>
          <w:rFonts w:cs="Arial"/>
          <w:bCs/>
          <w:i/>
          <w:spacing w:val="-2"/>
        </w:rPr>
        <w:t xml:space="preserve"> </w:t>
      </w:r>
      <w:r w:rsidRPr="005F2C03">
        <w:rPr>
          <w:rFonts w:cs="Arial"/>
          <w:bCs/>
          <w:i/>
        </w:rPr>
        <w:t>responsabilidad.</w:t>
      </w:r>
    </w:p>
    <w:p w14:paraId="4359980F" w14:textId="77777777" w:rsidR="00C4639A" w:rsidRPr="005F2C03" w:rsidRDefault="00C4639A" w:rsidP="00C4639A">
      <w:pPr>
        <w:ind w:left="709"/>
        <w:jc w:val="both"/>
        <w:rPr>
          <w:rFonts w:cs="Arial"/>
          <w:bCs/>
          <w:i/>
        </w:rPr>
      </w:pPr>
    </w:p>
    <w:p w14:paraId="5F2B5123" w14:textId="77777777" w:rsidR="00C4639A" w:rsidRPr="005F2C03" w:rsidRDefault="00C4639A" w:rsidP="00C4639A">
      <w:pPr>
        <w:ind w:left="709"/>
        <w:jc w:val="both"/>
        <w:rPr>
          <w:rFonts w:cs="Arial"/>
          <w:bCs/>
          <w:i/>
        </w:rPr>
      </w:pPr>
      <w:r w:rsidRPr="005F2C03">
        <w:rPr>
          <w:rFonts w:cs="Arial"/>
          <w:bCs/>
        </w:rPr>
        <w:t xml:space="preserve">Artículo 6: </w:t>
      </w:r>
      <w:r w:rsidRPr="005F2C03">
        <w:rPr>
          <w:rFonts w:cs="Arial"/>
          <w:bCs/>
          <w:i/>
        </w:rPr>
        <w:t xml:space="preserve">“DAÑO    </w:t>
      </w:r>
      <w:r w:rsidRPr="005F2C03">
        <w:rPr>
          <w:rFonts w:cs="Arial"/>
          <w:bCs/>
          <w:i/>
          <w:spacing w:val="25"/>
        </w:rPr>
        <w:t xml:space="preserve"> </w:t>
      </w:r>
      <w:r w:rsidRPr="005F2C03">
        <w:rPr>
          <w:rFonts w:cs="Arial"/>
          <w:bCs/>
          <w:i/>
        </w:rPr>
        <w:t xml:space="preserve">PATRIMONIAL    </w:t>
      </w:r>
      <w:r w:rsidRPr="005F2C03">
        <w:rPr>
          <w:rFonts w:cs="Arial"/>
          <w:bCs/>
          <w:i/>
          <w:spacing w:val="24"/>
        </w:rPr>
        <w:t xml:space="preserve"> </w:t>
      </w:r>
      <w:r w:rsidRPr="005F2C03">
        <w:rPr>
          <w:rFonts w:cs="Arial"/>
          <w:bCs/>
          <w:i/>
        </w:rPr>
        <w:t xml:space="preserve">AL    </w:t>
      </w:r>
      <w:r w:rsidRPr="005F2C03">
        <w:rPr>
          <w:rFonts w:cs="Arial"/>
          <w:bCs/>
          <w:i/>
          <w:spacing w:val="25"/>
        </w:rPr>
        <w:t xml:space="preserve"> </w:t>
      </w:r>
      <w:r w:rsidRPr="005F2C03">
        <w:rPr>
          <w:rFonts w:cs="Arial"/>
          <w:bCs/>
          <w:i/>
        </w:rPr>
        <w:t>ESTADO.</w:t>
      </w:r>
      <w:r w:rsidRPr="005F2C03">
        <w:rPr>
          <w:rFonts w:cs="Arial"/>
          <w:bCs/>
          <w:i/>
          <w:spacing w:val="1"/>
        </w:rPr>
        <w:t xml:space="preserve"> </w:t>
      </w:r>
      <w:r w:rsidRPr="005F2C03">
        <w:rPr>
          <w:rFonts w:cs="Arial"/>
          <w:bCs/>
          <w:i/>
        </w:rPr>
        <w:t xml:space="preserve">&lt;Apartes    </w:t>
      </w:r>
      <w:r w:rsidRPr="005F2C03">
        <w:rPr>
          <w:rFonts w:cs="Arial"/>
          <w:bCs/>
          <w:i/>
          <w:spacing w:val="22"/>
        </w:rPr>
        <w:t xml:space="preserve"> </w:t>
      </w:r>
      <w:r w:rsidRPr="005F2C03">
        <w:rPr>
          <w:rFonts w:cs="Arial"/>
          <w:bCs/>
          <w:i/>
        </w:rPr>
        <w:t>tachados INEXEQUIBLES&gt; Para efectos de esta ley se entiende por daño patrimonial al Estado la</w:t>
      </w:r>
      <w:r w:rsidRPr="005F2C03">
        <w:rPr>
          <w:rFonts w:cs="Arial"/>
          <w:bCs/>
          <w:i/>
          <w:spacing w:val="-59"/>
        </w:rPr>
        <w:t xml:space="preserve"> </w:t>
      </w:r>
      <w:r w:rsidRPr="005F2C03">
        <w:rPr>
          <w:rFonts w:cs="Arial"/>
          <w:bCs/>
          <w:i/>
        </w:rPr>
        <w:t>lesión del patrimonio público, representada en el menoscabo, disminución, perjuicio,</w:t>
      </w:r>
      <w:r w:rsidRPr="005F2C03">
        <w:rPr>
          <w:rFonts w:cs="Arial"/>
          <w:bCs/>
          <w:i/>
          <w:spacing w:val="1"/>
        </w:rPr>
        <w:t xml:space="preserve"> </w:t>
      </w:r>
      <w:r w:rsidRPr="005F2C03">
        <w:rPr>
          <w:rFonts w:cs="Arial"/>
          <w:bCs/>
          <w:i/>
        </w:rPr>
        <w:t>detrimento, pérdida, uso indebido o deterioro de los bienes o recursos públicos, o a los</w:t>
      </w:r>
      <w:r w:rsidRPr="005F2C03">
        <w:rPr>
          <w:rFonts w:cs="Arial"/>
          <w:bCs/>
          <w:i/>
          <w:spacing w:val="1"/>
        </w:rPr>
        <w:t xml:space="preserve"> </w:t>
      </w:r>
      <w:r w:rsidRPr="005F2C03">
        <w:rPr>
          <w:rFonts w:cs="Arial"/>
          <w:bCs/>
          <w:i/>
        </w:rPr>
        <w:t>intereses patrimoniales del Estado, producida por</w:t>
      </w:r>
      <w:r w:rsidRPr="005F2C03">
        <w:rPr>
          <w:rFonts w:cs="Arial"/>
          <w:bCs/>
          <w:i/>
          <w:spacing w:val="1"/>
        </w:rPr>
        <w:t xml:space="preserve"> </w:t>
      </w:r>
      <w:r w:rsidRPr="005F2C03">
        <w:rPr>
          <w:rFonts w:cs="Arial"/>
          <w:bCs/>
          <w:i/>
        </w:rPr>
        <w:t>una gestión fiscal antieconómica,</w:t>
      </w:r>
      <w:r w:rsidRPr="005F2C03">
        <w:rPr>
          <w:rFonts w:cs="Arial"/>
          <w:bCs/>
          <w:i/>
          <w:spacing w:val="1"/>
        </w:rPr>
        <w:t xml:space="preserve"> </w:t>
      </w:r>
      <w:r w:rsidRPr="005F2C03">
        <w:rPr>
          <w:rFonts w:cs="Arial"/>
          <w:bCs/>
          <w:i/>
        </w:rPr>
        <w:t>ineficaz, ineficiente, inequitativa e inoportuna, que en términos generales, no se aplique</w:t>
      </w:r>
      <w:r w:rsidRPr="005F2C03">
        <w:rPr>
          <w:rFonts w:cs="Arial"/>
          <w:bCs/>
          <w:i/>
          <w:spacing w:val="1"/>
        </w:rPr>
        <w:t xml:space="preserve"> </w:t>
      </w:r>
      <w:r w:rsidRPr="005F2C03">
        <w:rPr>
          <w:rFonts w:cs="Arial"/>
          <w:bCs/>
          <w:i/>
        </w:rPr>
        <w:t>al cumplimiento de los cometidos y de los fines esenciales del Estado, particularizados</w:t>
      </w:r>
      <w:r w:rsidRPr="005F2C03">
        <w:rPr>
          <w:rFonts w:cs="Arial"/>
          <w:bCs/>
          <w:i/>
          <w:spacing w:val="1"/>
        </w:rPr>
        <w:t xml:space="preserve"> </w:t>
      </w:r>
      <w:r w:rsidRPr="005F2C03">
        <w:rPr>
          <w:rFonts w:cs="Arial"/>
          <w:bCs/>
          <w:i/>
        </w:rPr>
        <w:t>por</w:t>
      </w:r>
      <w:r w:rsidRPr="005F2C03">
        <w:rPr>
          <w:rFonts w:cs="Arial"/>
          <w:bCs/>
          <w:i/>
          <w:spacing w:val="1"/>
        </w:rPr>
        <w:t xml:space="preserve"> </w:t>
      </w:r>
      <w:r w:rsidRPr="005F2C03">
        <w:rPr>
          <w:rFonts w:cs="Arial"/>
          <w:bCs/>
          <w:i/>
        </w:rPr>
        <w:t>el</w:t>
      </w:r>
      <w:r w:rsidRPr="005F2C03">
        <w:rPr>
          <w:rFonts w:cs="Arial"/>
          <w:bCs/>
          <w:i/>
          <w:spacing w:val="1"/>
        </w:rPr>
        <w:t xml:space="preserve"> </w:t>
      </w:r>
      <w:r w:rsidRPr="005F2C03">
        <w:rPr>
          <w:rFonts w:cs="Arial"/>
          <w:bCs/>
          <w:i/>
        </w:rPr>
        <w:lastRenderedPageBreak/>
        <w:t>objetivo</w:t>
      </w:r>
      <w:r w:rsidRPr="005F2C03">
        <w:rPr>
          <w:rFonts w:cs="Arial"/>
          <w:bCs/>
          <w:i/>
          <w:spacing w:val="1"/>
        </w:rPr>
        <w:t xml:space="preserve"> </w:t>
      </w:r>
      <w:r w:rsidRPr="005F2C03">
        <w:rPr>
          <w:rFonts w:cs="Arial"/>
          <w:bCs/>
          <w:i/>
        </w:rPr>
        <w:t>funcional</w:t>
      </w:r>
      <w:r w:rsidRPr="005F2C03">
        <w:rPr>
          <w:rFonts w:cs="Arial"/>
          <w:bCs/>
          <w:i/>
          <w:spacing w:val="1"/>
        </w:rPr>
        <w:t xml:space="preserve"> </w:t>
      </w:r>
      <w:r w:rsidRPr="005F2C03">
        <w:rPr>
          <w:rFonts w:cs="Arial"/>
          <w:bCs/>
          <w:i/>
        </w:rPr>
        <w:t>y</w:t>
      </w:r>
      <w:r w:rsidRPr="005F2C03">
        <w:rPr>
          <w:rFonts w:cs="Arial"/>
          <w:bCs/>
          <w:i/>
          <w:spacing w:val="1"/>
        </w:rPr>
        <w:t xml:space="preserve"> </w:t>
      </w:r>
      <w:r w:rsidRPr="005F2C03">
        <w:rPr>
          <w:rFonts w:cs="Arial"/>
          <w:bCs/>
          <w:i/>
        </w:rPr>
        <w:t>organizacional,</w:t>
      </w:r>
      <w:r w:rsidRPr="005F2C03">
        <w:rPr>
          <w:rFonts w:cs="Arial"/>
          <w:bCs/>
          <w:i/>
          <w:spacing w:val="1"/>
        </w:rPr>
        <w:t xml:space="preserve"> </w:t>
      </w:r>
      <w:r w:rsidRPr="005F2C03">
        <w:rPr>
          <w:rFonts w:cs="Arial"/>
          <w:bCs/>
          <w:i/>
        </w:rPr>
        <w:t>programa</w:t>
      </w:r>
      <w:r w:rsidRPr="005F2C03">
        <w:rPr>
          <w:rFonts w:cs="Arial"/>
          <w:bCs/>
          <w:i/>
          <w:spacing w:val="1"/>
        </w:rPr>
        <w:t xml:space="preserve"> </w:t>
      </w:r>
      <w:r w:rsidRPr="005F2C03">
        <w:rPr>
          <w:rFonts w:cs="Arial"/>
          <w:bCs/>
          <w:i/>
        </w:rPr>
        <w:t>o</w:t>
      </w:r>
      <w:r w:rsidRPr="005F2C03">
        <w:rPr>
          <w:rFonts w:cs="Arial"/>
          <w:bCs/>
          <w:i/>
          <w:spacing w:val="1"/>
        </w:rPr>
        <w:t xml:space="preserve"> </w:t>
      </w:r>
      <w:r w:rsidRPr="005F2C03">
        <w:rPr>
          <w:rFonts w:cs="Arial"/>
          <w:bCs/>
          <w:i/>
        </w:rPr>
        <w:t>proyecto</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los</w:t>
      </w:r>
      <w:r w:rsidRPr="005F2C03">
        <w:rPr>
          <w:rFonts w:cs="Arial"/>
          <w:bCs/>
          <w:i/>
          <w:spacing w:val="1"/>
        </w:rPr>
        <w:t xml:space="preserve"> </w:t>
      </w:r>
      <w:r w:rsidRPr="005F2C03">
        <w:rPr>
          <w:rFonts w:cs="Arial"/>
          <w:bCs/>
          <w:i/>
        </w:rPr>
        <w:t>sujetos</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vigilancia</w:t>
      </w:r>
      <w:r w:rsidRPr="005F2C03">
        <w:rPr>
          <w:rFonts w:cs="Arial"/>
          <w:bCs/>
          <w:i/>
          <w:spacing w:val="-1"/>
        </w:rPr>
        <w:t xml:space="preserve"> </w:t>
      </w:r>
      <w:r w:rsidRPr="005F2C03">
        <w:rPr>
          <w:rFonts w:cs="Arial"/>
          <w:bCs/>
          <w:i/>
        </w:rPr>
        <w:t>y</w:t>
      </w:r>
      <w:r w:rsidRPr="005F2C03">
        <w:rPr>
          <w:rFonts w:cs="Arial"/>
          <w:bCs/>
          <w:i/>
          <w:spacing w:val="1"/>
        </w:rPr>
        <w:t xml:space="preserve"> </w:t>
      </w:r>
      <w:r w:rsidRPr="005F2C03">
        <w:rPr>
          <w:rFonts w:cs="Arial"/>
          <w:bCs/>
          <w:i/>
        </w:rPr>
        <w:t>control</w:t>
      </w:r>
      <w:r w:rsidRPr="005F2C03">
        <w:rPr>
          <w:rFonts w:cs="Arial"/>
          <w:bCs/>
          <w:i/>
          <w:spacing w:val="-3"/>
        </w:rPr>
        <w:t xml:space="preserve"> </w:t>
      </w:r>
      <w:r w:rsidRPr="005F2C03">
        <w:rPr>
          <w:rFonts w:cs="Arial"/>
          <w:bCs/>
          <w:i/>
        </w:rPr>
        <w:t>de las</w:t>
      </w:r>
      <w:r w:rsidRPr="005F2C03">
        <w:rPr>
          <w:rFonts w:cs="Arial"/>
          <w:bCs/>
          <w:i/>
          <w:spacing w:val="-2"/>
        </w:rPr>
        <w:t xml:space="preserve"> </w:t>
      </w:r>
      <w:r w:rsidRPr="005F2C03">
        <w:rPr>
          <w:rFonts w:cs="Arial"/>
          <w:bCs/>
          <w:i/>
        </w:rPr>
        <w:t>contralorías.</w:t>
      </w:r>
    </w:p>
    <w:p w14:paraId="1BD495D1" w14:textId="77777777" w:rsidR="00C4639A" w:rsidRPr="005F2C03" w:rsidRDefault="00C4639A" w:rsidP="00C4639A">
      <w:pPr>
        <w:ind w:left="709"/>
        <w:jc w:val="both"/>
        <w:rPr>
          <w:rFonts w:cs="Arial"/>
          <w:bCs/>
          <w:i/>
        </w:rPr>
      </w:pPr>
    </w:p>
    <w:p w14:paraId="45842E32" w14:textId="77777777" w:rsidR="00C4639A" w:rsidRPr="005F2C03" w:rsidRDefault="00C4639A" w:rsidP="00C4639A">
      <w:pPr>
        <w:ind w:left="709"/>
        <w:jc w:val="both"/>
        <w:rPr>
          <w:rFonts w:cs="Arial"/>
          <w:bCs/>
          <w:i/>
        </w:rPr>
      </w:pPr>
      <w:r w:rsidRPr="005F2C03">
        <w:rPr>
          <w:rFonts w:cs="Arial"/>
          <w:bCs/>
          <w:i/>
        </w:rPr>
        <w:t>Dicho daño podrá ocasionarse por acción u omisión de los servidores públicos o por la</w:t>
      </w:r>
      <w:r w:rsidRPr="005F2C03">
        <w:rPr>
          <w:rFonts w:cs="Arial"/>
          <w:bCs/>
          <w:i/>
          <w:spacing w:val="1"/>
        </w:rPr>
        <w:t xml:space="preserve"> </w:t>
      </w:r>
      <w:r w:rsidRPr="005F2C03">
        <w:rPr>
          <w:rFonts w:cs="Arial"/>
          <w:bCs/>
          <w:i/>
        </w:rPr>
        <w:t>persona natural o jurídica de derecho privado, que en forma dolosa o culposa produzcan</w:t>
      </w:r>
      <w:r w:rsidRPr="005F2C03">
        <w:rPr>
          <w:rFonts w:cs="Arial"/>
          <w:bCs/>
          <w:i/>
          <w:spacing w:val="-59"/>
        </w:rPr>
        <w:t xml:space="preserve"> </w:t>
      </w:r>
      <w:r w:rsidRPr="005F2C03">
        <w:rPr>
          <w:rFonts w:cs="Arial"/>
          <w:bCs/>
          <w:i/>
        </w:rPr>
        <w:t>directamente</w:t>
      </w:r>
      <w:r w:rsidRPr="005F2C03">
        <w:rPr>
          <w:rFonts w:cs="Arial"/>
          <w:bCs/>
          <w:i/>
          <w:spacing w:val="-3"/>
        </w:rPr>
        <w:t xml:space="preserve"> </w:t>
      </w:r>
      <w:r w:rsidRPr="005F2C03">
        <w:rPr>
          <w:rFonts w:cs="Arial"/>
          <w:bCs/>
          <w:i/>
        </w:rPr>
        <w:t>o contribuyan</w:t>
      </w:r>
      <w:r w:rsidRPr="005F2C03">
        <w:rPr>
          <w:rFonts w:cs="Arial"/>
          <w:bCs/>
          <w:i/>
          <w:spacing w:val="1"/>
        </w:rPr>
        <w:t xml:space="preserve"> </w:t>
      </w:r>
      <w:r w:rsidRPr="005F2C03">
        <w:rPr>
          <w:rFonts w:cs="Arial"/>
          <w:bCs/>
          <w:i/>
        </w:rPr>
        <w:t>al</w:t>
      </w:r>
      <w:r w:rsidRPr="005F2C03">
        <w:rPr>
          <w:rFonts w:cs="Arial"/>
          <w:bCs/>
          <w:i/>
          <w:spacing w:val="-2"/>
        </w:rPr>
        <w:t xml:space="preserve"> </w:t>
      </w:r>
      <w:r w:rsidRPr="005F2C03">
        <w:rPr>
          <w:rFonts w:cs="Arial"/>
          <w:bCs/>
          <w:i/>
        </w:rPr>
        <w:t>detrimento al</w:t>
      </w:r>
      <w:r w:rsidRPr="005F2C03">
        <w:rPr>
          <w:rFonts w:cs="Arial"/>
          <w:bCs/>
          <w:i/>
          <w:spacing w:val="-1"/>
        </w:rPr>
        <w:t xml:space="preserve"> </w:t>
      </w:r>
      <w:r w:rsidRPr="005F2C03">
        <w:rPr>
          <w:rFonts w:cs="Arial"/>
          <w:bCs/>
          <w:i/>
        </w:rPr>
        <w:t>patrimonio</w:t>
      </w:r>
      <w:r w:rsidRPr="005F2C03">
        <w:rPr>
          <w:rFonts w:cs="Arial"/>
          <w:bCs/>
          <w:i/>
          <w:spacing w:val="-1"/>
        </w:rPr>
        <w:t xml:space="preserve"> </w:t>
      </w:r>
      <w:r w:rsidRPr="005F2C03">
        <w:rPr>
          <w:rFonts w:cs="Arial"/>
          <w:bCs/>
          <w:i/>
        </w:rPr>
        <w:t>público”.</w:t>
      </w:r>
    </w:p>
    <w:p w14:paraId="7AED01A3" w14:textId="77777777" w:rsidR="00C4639A" w:rsidRPr="005F2C03" w:rsidRDefault="00C4639A" w:rsidP="00C4639A">
      <w:pPr>
        <w:ind w:left="709"/>
        <w:jc w:val="both"/>
        <w:rPr>
          <w:rFonts w:cs="Arial"/>
          <w:bCs/>
          <w:i/>
        </w:rPr>
      </w:pPr>
    </w:p>
    <w:p w14:paraId="7164C35F" w14:textId="77777777" w:rsidR="00C4639A" w:rsidRPr="005F2C03" w:rsidRDefault="00C4639A" w:rsidP="00C4639A">
      <w:pPr>
        <w:ind w:left="709"/>
        <w:jc w:val="both"/>
        <w:rPr>
          <w:rFonts w:cs="Arial"/>
          <w:bCs/>
          <w:i/>
        </w:rPr>
      </w:pPr>
      <w:r w:rsidRPr="005F2C03">
        <w:rPr>
          <w:rFonts w:cs="Arial"/>
          <w:bCs/>
        </w:rPr>
        <w:t xml:space="preserve">Artículo 7: </w:t>
      </w:r>
      <w:r w:rsidRPr="005F2C03">
        <w:rPr>
          <w:rFonts w:cs="Arial"/>
          <w:bCs/>
          <w:i/>
        </w:rPr>
        <w:t>“PÉRDIDA,</w:t>
      </w:r>
      <w:r w:rsidRPr="005F2C03">
        <w:rPr>
          <w:rFonts w:cs="Arial"/>
          <w:bCs/>
          <w:i/>
          <w:spacing w:val="83"/>
        </w:rPr>
        <w:t xml:space="preserve"> </w:t>
      </w:r>
      <w:r w:rsidRPr="005F2C03">
        <w:rPr>
          <w:rFonts w:cs="Arial"/>
          <w:bCs/>
          <w:i/>
        </w:rPr>
        <w:t>DAÑO</w:t>
      </w:r>
      <w:r w:rsidRPr="005F2C03">
        <w:rPr>
          <w:rFonts w:cs="Arial"/>
          <w:bCs/>
          <w:i/>
          <w:spacing w:val="80"/>
        </w:rPr>
        <w:t xml:space="preserve"> </w:t>
      </w:r>
      <w:r w:rsidRPr="005F2C03">
        <w:rPr>
          <w:rFonts w:cs="Arial"/>
          <w:bCs/>
          <w:i/>
        </w:rPr>
        <w:t>O</w:t>
      </w:r>
      <w:r w:rsidRPr="005F2C03">
        <w:rPr>
          <w:rFonts w:cs="Arial"/>
          <w:bCs/>
          <w:i/>
          <w:spacing w:val="81"/>
        </w:rPr>
        <w:t xml:space="preserve"> </w:t>
      </w:r>
      <w:r w:rsidRPr="005F2C03">
        <w:rPr>
          <w:rFonts w:cs="Arial"/>
          <w:bCs/>
          <w:i/>
        </w:rPr>
        <w:t>DETERIORO</w:t>
      </w:r>
      <w:r w:rsidRPr="005F2C03">
        <w:rPr>
          <w:rFonts w:cs="Arial"/>
          <w:bCs/>
          <w:i/>
          <w:spacing w:val="81"/>
        </w:rPr>
        <w:t xml:space="preserve"> </w:t>
      </w:r>
      <w:r w:rsidRPr="005F2C03">
        <w:rPr>
          <w:rFonts w:cs="Arial"/>
          <w:bCs/>
          <w:i/>
        </w:rPr>
        <w:t>DE</w:t>
      </w:r>
      <w:r w:rsidRPr="005F2C03">
        <w:rPr>
          <w:rFonts w:cs="Arial"/>
          <w:bCs/>
          <w:i/>
          <w:spacing w:val="80"/>
        </w:rPr>
        <w:t xml:space="preserve"> </w:t>
      </w:r>
      <w:r w:rsidRPr="005F2C03">
        <w:rPr>
          <w:rFonts w:cs="Arial"/>
          <w:bCs/>
          <w:i/>
        </w:rPr>
        <w:t>BIENES.</w:t>
      </w:r>
      <w:r w:rsidRPr="005F2C03">
        <w:rPr>
          <w:rFonts w:cs="Arial"/>
          <w:bCs/>
          <w:i/>
          <w:spacing w:val="2"/>
        </w:rPr>
        <w:t xml:space="preserve"> </w:t>
      </w:r>
      <w:r w:rsidRPr="005F2C03">
        <w:rPr>
          <w:rFonts w:cs="Arial"/>
          <w:bCs/>
          <w:i/>
        </w:rPr>
        <w:t>En</w:t>
      </w:r>
      <w:r w:rsidRPr="005F2C03">
        <w:rPr>
          <w:rFonts w:cs="Arial"/>
          <w:bCs/>
          <w:i/>
          <w:spacing w:val="77"/>
        </w:rPr>
        <w:t xml:space="preserve"> </w:t>
      </w:r>
      <w:r w:rsidRPr="005F2C03">
        <w:rPr>
          <w:rFonts w:cs="Arial"/>
          <w:bCs/>
          <w:i/>
        </w:rPr>
        <w:t>los</w:t>
      </w:r>
      <w:r w:rsidRPr="005F2C03">
        <w:rPr>
          <w:rFonts w:cs="Arial"/>
          <w:bCs/>
          <w:i/>
          <w:spacing w:val="83"/>
        </w:rPr>
        <w:t xml:space="preserve"> </w:t>
      </w:r>
      <w:r w:rsidRPr="005F2C03">
        <w:rPr>
          <w:rFonts w:cs="Arial"/>
          <w:bCs/>
          <w:i/>
        </w:rPr>
        <w:t>casos</w:t>
      </w:r>
      <w:r w:rsidRPr="005F2C03">
        <w:rPr>
          <w:rFonts w:cs="Arial"/>
          <w:bCs/>
          <w:i/>
          <w:spacing w:val="80"/>
        </w:rPr>
        <w:t xml:space="preserve"> </w:t>
      </w:r>
      <w:r w:rsidRPr="005F2C03">
        <w:rPr>
          <w:rFonts w:cs="Arial"/>
          <w:bCs/>
          <w:i/>
        </w:rPr>
        <w:t>de pérdida, daño o deterioro por causas distintas al desgaste natural que sufren las cosas,</w:t>
      </w:r>
      <w:r w:rsidRPr="005F2C03">
        <w:rPr>
          <w:rFonts w:cs="Arial"/>
          <w:bCs/>
          <w:i/>
          <w:spacing w:val="1"/>
        </w:rPr>
        <w:t xml:space="preserve"> </w:t>
      </w:r>
      <w:r w:rsidRPr="005F2C03">
        <w:rPr>
          <w:rFonts w:cs="Arial"/>
          <w:bCs/>
          <w:i/>
        </w:rPr>
        <w:t>de bienes en servicio o inservibles no dados de baja, únicamente procederá derivación</w:t>
      </w:r>
      <w:r w:rsidRPr="005F2C03">
        <w:rPr>
          <w:rFonts w:cs="Arial"/>
          <w:bCs/>
          <w:i/>
          <w:spacing w:val="1"/>
        </w:rPr>
        <w:t xml:space="preserve"> </w:t>
      </w:r>
      <w:r w:rsidRPr="005F2C03">
        <w:rPr>
          <w:rFonts w:cs="Arial"/>
          <w:bCs/>
          <w:i/>
        </w:rPr>
        <w:t>de</w:t>
      </w:r>
      <w:r w:rsidRPr="005F2C03">
        <w:rPr>
          <w:rFonts w:cs="Arial"/>
          <w:bCs/>
          <w:i/>
          <w:spacing w:val="47"/>
        </w:rPr>
        <w:t xml:space="preserve"> </w:t>
      </w:r>
      <w:r w:rsidRPr="005F2C03">
        <w:rPr>
          <w:rFonts w:cs="Arial"/>
          <w:bCs/>
          <w:i/>
        </w:rPr>
        <w:t>responsabilidad</w:t>
      </w:r>
      <w:r w:rsidRPr="005F2C03">
        <w:rPr>
          <w:rFonts w:cs="Arial"/>
          <w:bCs/>
          <w:i/>
          <w:spacing w:val="46"/>
        </w:rPr>
        <w:t xml:space="preserve"> </w:t>
      </w:r>
      <w:r w:rsidRPr="005F2C03">
        <w:rPr>
          <w:rFonts w:cs="Arial"/>
          <w:bCs/>
          <w:i/>
        </w:rPr>
        <w:t>fiscal</w:t>
      </w:r>
      <w:r w:rsidRPr="005F2C03">
        <w:rPr>
          <w:rFonts w:cs="Arial"/>
          <w:bCs/>
          <w:i/>
          <w:spacing w:val="47"/>
        </w:rPr>
        <w:t xml:space="preserve"> </w:t>
      </w:r>
      <w:r w:rsidRPr="005F2C03">
        <w:rPr>
          <w:rFonts w:cs="Arial"/>
          <w:bCs/>
          <w:i/>
        </w:rPr>
        <w:t>cuando</w:t>
      </w:r>
      <w:r w:rsidRPr="005F2C03">
        <w:rPr>
          <w:rFonts w:cs="Arial"/>
          <w:bCs/>
          <w:i/>
          <w:spacing w:val="48"/>
        </w:rPr>
        <w:t xml:space="preserve"> </w:t>
      </w:r>
      <w:r w:rsidRPr="005F2C03">
        <w:rPr>
          <w:rFonts w:cs="Arial"/>
          <w:bCs/>
          <w:i/>
        </w:rPr>
        <w:t>el</w:t>
      </w:r>
      <w:r w:rsidRPr="005F2C03">
        <w:rPr>
          <w:rFonts w:cs="Arial"/>
          <w:bCs/>
          <w:i/>
          <w:spacing w:val="46"/>
        </w:rPr>
        <w:t xml:space="preserve"> </w:t>
      </w:r>
      <w:r w:rsidRPr="005F2C03">
        <w:rPr>
          <w:rFonts w:cs="Arial"/>
          <w:bCs/>
          <w:i/>
        </w:rPr>
        <w:t>hecho</w:t>
      </w:r>
      <w:r w:rsidRPr="005F2C03">
        <w:rPr>
          <w:rFonts w:cs="Arial"/>
          <w:bCs/>
          <w:i/>
          <w:spacing w:val="43"/>
        </w:rPr>
        <w:t xml:space="preserve"> </w:t>
      </w:r>
      <w:r w:rsidRPr="005F2C03">
        <w:rPr>
          <w:rFonts w:cs="Arial"/>
          <w:bCs/>
          <w:i/>
        </w:rPr>
        <w:t>tenga</w:t>
      </w:r>
      <w:r w:rsidRPr="005F2C03">
        <w:rPr>
          <w:rFonts w:cs="Arial"/>
          <w:bCs/>
          <w:i/>
          <w:spacing w:val="48"/>
        </w:rPr>
        <w:t xml:space="preserve"> </w:t>
      </w:r>
      <w:r w:rsidRPr="005F2C03">
        <w:rPr>
          <w:rFonts w:cs="Arial"/>
          <w:bCs/>
          <w:i/>
        </w:rPr>
        <w:t>relación</w:t>
      </w:r>
      <w:r w:rsidRPr="005F2C03">
        <w:rPr>
          <w:rFonts w:cs="Arial"/>
          <w:bCs/>
          <w:i/>
          <w:spacing w:val="48"/>
        </w:rPr>
        <w:t xml:space="preserve"> </w:t>
      </w:r>
      <w:r w:rsidRPr="005F2C03">
        <w:rPr>
          <w:rFonts w:cs="Arial"/>
          <w:bCs/>
          <w:i/>
        </w:rPr>
        <w:t>directa</w:t>
      </w:r>
      <w:r w:rsidRPr="005F2C03">
        <w:rPr>
          <w:rFonts w:cs="Arial"/>
          <w:bCs/>
          <w:i/>
          <w:spacing w:val="46"/>
        </w:rPr>
        <w:t xml:space="preserve"> </w:t>
      </w:r>
      <w:r w:rsidRPr="005F2C03">
        <w:rPr>
          <w:rFonts w:cs="Arial"/>
          <w:bCs/>
          <w:i/>
        </w:rPr>
        <w:t>con</w:t>
      </w:r>
      <w:r w:rsidRPr="005F2C03">
        <w:rPr>
          <w:rFonts w:cs="Arial"/>
          <w:bCs/>
          <w:i/>
          <w:spacing w:val="44"/>
        </w:rPr>
        <w:t xml:space="preserve"> </w:t>
      </w:r>
      <w:r w:rsidRPr="005F2C03">
        <w:rPr>
          <w:rFonts w:cs="Arial"/>
          <w:bCs/>
          <w:i/>
        </w:rPr>
        <w:t>el</w:t>
      </w:r>
      <w:r w:rsidRPr="005F2C03">
        <w:rPr>
          <w:rFonts w:cs="Arial"/>
          <w:bCs/>
          <w:i/>
          <w:spacing w:val="47"/>
        </w:rPr>
        <w:t xml:space="preserve"> </w:t>
      </w:r>
      <w:r w:rsidRPr="005F2C03">
        <w:rPr>
          <w:rFonts w:cs="Arial"/>
          <w:bCs/>
          <w:i/>
        </w:rPr>
        <w:t>ejercicio</w:t>
      </w:r>
      <w:r w:rsidRPr="005F2C03">
        <w:rPr>
          <w:rFonts w:cs="Arial"/>
          <w:bCs/>
          <w:i/>
          <w:spacing w:val="48"/>
        </w:rPr>
        <w:t xml:space="preserve"> </w:t>
      </w:r>
      <w:r w:rsidRPr="005F2C03">
        <w:rPr>
          <w:rFonts w:cs="Arial"/>
          <w:bCs/>
          <w:i/>
        </w:rPr>
        <w:t>de</w:t>
      </w:r>
      <w:r w:rsidRPr="005F2C03">
        <w:rPr>
          <w:rFonts w:cs="Arial"/>
          <w:bCs/>
          <w:i/>
          <w:spacing w:val="-59"/>
        </w:rPr>
        <w:t xml:space="preserve"> </w:t>
      </w:r>
      <w:r w:rsidRPr="005F2C03">
        <w:rPr>
          <w:rFonts w:cs="Arial"/>
          <w:bCs/>
          <w:i/>
        </w:rPr>
        <w:t>actos propios de</w:t>
      </w:r>
      <w:r w:rsidRPr="005F2C03">
        <w:rPr>
          <w:rFonts w:cs="Arial"/>
          <w:bCs/>
          <w:i/>
          <w:spacing w:val="-3"/>
        </w:rPr>
        <w:t xml:space="preserve"> </w:t>
      </w:r>
      <w:r w:rsidRPr="005F2C03">
        <w:rPr>
          <w:rFonts w:cs="Arial"/>
          <w:bCs/>
          <w:i/>
        </w:rPr>
        <w:t>la gestión</w:t>
      </w:r>
      <w:r w:rsidRPr="005F2C03">
        <w:rPr>
          <w:rFonts w:cs="Arial"/>
          <w:bCs/>
          <w:i/>
          <w:spacing w:val="-1"/>
        </w:rPr>
        <w:t xml:space="preserve"> </w:t>
      </w:r>
      <w:r w:rsidRPr="005F2C03">
        <w:rPr>
          <w:rFonts w:cs="Arial"/>
          <w:bCs/>
          <w:i/>
        </w:rPr>
        <w:t>fiscal</w:t>
      </w:r>
      <w:r w:rsidRPr="005F2C03">
        <w:rPr>
          <w:rFonts w:cs="Arial"/>
          <w:bCs/>
          <w:i/>
          <w:spacing w:val="-1"/>
        </w:rPr>
        <w:t xml:space="preserve"> </w:t>
      </w:r>
      <w:r w:rsidRPr="005F2C03">
        <w:rPr>
          <w:rFonts w:cs="Arial"/>
          <w:bCs/>
          <w:i/>
        </w:rPr>
        <w:t>por</w:t>
      </w:r>
      <w:r w:rsidRPr="005F2C03">
        <w:rPr>
          <w:rFonts w:cs="Arial"/>
          <w:bCs/>
          <w:i/>
          <w:spacing w:val="1"/>
        </w:rPr>
        <w:t xml:space="preserve"> </w:t>
      </w:r>
      <w:r w:rsidRPr="005F2C03">
        <w:rPr>
          <w:rFonts w:cs="Arial"/>
          <w:bCs/>
          <w:i/>
        </w:rPr>
        <w:t>parte</w:t>
      </w:r>
      <w:r w:rsidRPr="005F2C03">
        <w:rPr>
          <w:rFonts w:cs="Arial"/>
          <w:bCs/>
          <w:i/>
          <w:spacing w:val="-3"/>
        </w:rPr>
        <w:t xml:space="preserve"> </w:t>
      </w:r>
      <w:r w:rsidRPr="005F2C03">
        <w:rPr>
          <w:rFonts w:cs="Arial"/>
          <w:bCs/>
          <w:i/>
        </w:rPr>
        <w:t>de los</w:t>
      </w:r>
      <w:r w:rsidRPr="005F2C03">
        <w:rPr>
          <w:rFonts w:cs="Arial"/>
          <w:bCs/>
          <w:i/>
          <w:spacing w:val="-3"/>
        </w:rPr>
        <w:t xml:space="preserve"> </w:t>
      </w:r>
      <w:r w:rsidRPr="005F2C03">
        <w:rPr>
          <w:rFonts w:cs="Arial"/>
          <w:bCs/>
          <w:i/>
        </w:rPr>
        <w:t>presuntos</w:t>
      </w:r>
      <w:r w:rsidRPr="005F2C03">
        <w:rPr>
          <w:rFonts w:cs="Arial"/>
          <w:bCs/>
          <w:i/>
          <w:spacing w:val="-2"/>
        </w:rPr>
        <w:t xml:space="preserve"> </w:t>
      </w:r>
      <w:r w:rsidRPr="005F2C03">
        <w:rPr>
          <w:rFonts w:cs="Arial"/>
          <w:bCs/>
          <w:i/>
        </w:rPr>
        <w:t>responsables.</w:t>
      </w:r>
    </w:p>
    <w:p w14:paraId="41A808C6" w14:textId="77777777" w:rsidR="00C4639A" w:rsidRPr="005F2C03" w:rsidRDefault="00C4639A" w:rsidP="00C4639A">
      <w:pPr>
        <w:ind w:left="709"/>
        <w:jc w:val="both"/>
        <w:rPr>
          <w:rFonts w:cs="Arial"/>
          <w:bCs/>
          <w:i/>
        </w:rPr>
      </w:pPr>
    </w:p>
    <w:p w14:paraId="6665781B" w14:textId="77777777" w:rsidR="00C4639A" w:rsidRPr="005F2C03" w:rsidRDefault="00C4639A" w:rsidP="00C4639A">
      <w:pPr>
        <w:ind w:left="709"/>
        <w:jc w:val="both"/>
        <w:rPr>
          <w:rFonts w:cs="Arial"/>
          <w:bCs/>
          <w:i/>
        </w:rPr>
      </w:pPr>
      <w:r w:rsidRPr="005F2C03">
        <w:rPr>
          <w:rFonts w:cs="Arial"/>
          <w:bCs/>
          <w:i/>
        </w:rPr>
        <w:t>En</w:t>
      </w:r>
      <w:r w:rsidRPr="005F2C03">
        <w:rPr>
          <w:rFonts w:cs="Arial"/>
          <w:bCs/>
          <w:i/>
          <w:spacing w:val="1"/>
        </w:rPr>
        <w:t xml:space="preserve"> </w:t>
      </w:r>
      <w:r w:rsidRPr="005F2C03">
        <w:rPr>
          <w:rFonts w:cs="Arial"/>
          <w:bCs/>
          <w:i/>
        </w:rPr>
        <w:t>los</w:t>
      </w:r>
      <w:r w:rsidRPr="005F2C03">
        <w:rPr>
          <w:rFonts w:cs="Arial"/>
          <w:bCs/>
          <w:i/>
          <w:spacing w:val="1"/>
        </w:rPr>
        <w:t xml:space="preserve"> </w:t>
      </w:r>
      <w:r w:rsidRPr="005F2C03">
        <w:rPr>
          <w:rFonts w:cs="Arial"/>
          <w:bCs/>
          <w:i/>
        </w:rPr>
        <w:t>demás</w:t>
      </w:r>
      <w:r w:rsidRPr="005F2C03">
        <w:rPr>
          <w:rFonts w:cs="Arial"/>
          <w:bCs/>
          <w:i/>
          <w:spacing w:val="1"/>
        </w:rPr>
        <w:t xml:space="preserve"> </w:t>
      </w:r>
      <w:r w:rsidRPr="005F2C03">
        <w:rPr>
          <w:rFonts w:cs="Arial"/>
          <w:bCs/>
          <w:i/>
        </w:rPr>
        <w:t>eventos</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pérdida,</w:t>
      </w:r>
      <w:r w:rsidRPr="005F2C03">
        <w:rPr>
          <w:rFonts w:cs="Arial"/>
          <w:bCs/>
          <w:i/>
          <w:spacing w:val="1"/>
        </w:rPr>
        <w:t xml:space="preserve"> </w:t>
      </w:r>
      <w:r w:rsidRPr="005F2C03">
        <w:rPr>
          <w:rFonts w:cs="Arial"/>
          <w:bCs/>
          <w:i/>
        </w:rPr>
        <w:t>daño</w:t>
      </w:r>
      <w:r w:rsidRPr="005F2C03">
        <w:rPr>
          <w:rFonts w:cs="Arial"/>
          <w:bCs/>
          <w:i/>
          <w:spacing w:val="1"/>
        </w:rPr>
        <w:t xml:space="preserve"> </w:t>
      </w:r>
      <w:r w:rsidRPr="005F2C03">
        <w:rPr>
          <w:rFonts w:cs="Arial"/>
          <w:bCs/>
          <w:i/>
        </w:rPr>
        <w:t>o</w:t>
      </w:r>
      <w:r w:rsidRPr="005F2C03">
        <w:rPr>
          <w:rFonts w:cs="Arial"/>
          <w:bCs/>
          <w:i/>
          <w:spacing w:val="1"/>
        </w:rPr>
        <w:t xml:space="preserve"> </w:t>
      </w:r>
      <w:r w:rsidRPr="005F2C03">
        <w:rPr>
          <w:rFonts w:cs="Arial"/>
          <w:bCs/>
          <w:i/>
        </w:rPr>
        <w:t>deterioro</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este</w:t>
      </w:r>
      <w:r w:rsidRPr="005F2C03">
        <w:rPr>
          <w:rFonts w:cs="Arial"/>
          <w:bCs/>
          <w:i/>
          <w:spacing w:val="1"/>
        </w:rPr>
        <w:t xml:space="preserve"> </w:t>
      </w:r>
      <w:r w:rsidRPr="005F2C03">
        <w:rPr>
          <w:rFonts w:cs="Arial"/>
          <w:bCs/>
          <w:i/>
        </w:rPr>
        <w:t>tipo</w:t>
      </w:r>
      <w:r w:rsidRPr="005F2C03">
        <w:rPr>
          <w:rFonts w:cs="Arial"/>
          <w:bCs/>
          <w:i/>
          <w:spacing w:val="1"/>
        </w:rPr>
        <w:t xml:space="preserve"> </w:t>
      </w:r>
      <w:r w:rsidRPr="005F2C03">
        <w:rPr>
          <w:rFonts w:cs="Arial"/>
          <w:bCs/>
          <w:i/>
        </w:rPr>
        <w:t>de</w:t>
      </w:r>
      <w:r w:rsidRPr="005F2C03">
        <w:rPr>
          <w:rFonts w:cs="Arial"/>
          <w:bCs/>
          <w:i/>
          <w:spacing w:val="1"/>
        </w:rPr>
        <w:t xml:space="preserve"> </w:t>
      </w:r>
      <w:r w:rsidRPr="005F2C03">
        <w:rPr>
          <w:rFonts w:cs="Arial"/>
          <w:bCs/>
          <w:i/>
        </w:rPr>
        <w:t>bienes,</w:t>
      </w:r>
      <w:r w:rsidRPr="005F2C03">
        <w:rPr>
          <w:rFonts w:cs="Arial"/>
          <w:bCs/>
          <w:i/>
          <w:spacing w:val="1"/>
        </w:rPr>
        <w:t xml:space="preserve"> </w:t>
      </w:r>
      <w:r w:rsidRPr="005F2C03">
        <w:rPr>
          <w:rFonts w:cs="Arial"/>
          <w:bCs/>
          <w:i/>
        </w:rPr>
        <w:t>el</w:t>
      </w:r>
      <w:r w:rsidRPr="005F2C03">
        <w:rPr>
          <w:rFonts w:cs="Arial"/>
          <w:bCs/>
          <w:i/>
          <w:spacing w:val="1"/>
        </w:rPr>
        <w:t xml:space="preserve"> </w:t>
      </w:r>
      <w:r w:rsidRPr="005F2C03">
        <w:rPr>
          <w:rFonts w:cs="Arial"/>
          <w:bCs/>
          <w:i/>
        </w:rPr>
        <w:t>resarcimiento</w:t>
      </w:r>
      <w:r w:rsidRPr="005F2C03">
        <w:rPr>
          <w:rFonts w:cs="Arial"/>
          <w:bCs/>
          <w:i/>
          <w:spacing w:val="13"/>
        </w:rPr>
        <w:t xml:space="preserve"> </w:t>
      </w:r>
      <w:r w:rsidRPr="005F2C03">
        <w:rPr>
          <w:rFonts w:cs="Arial"/>
          <w:bCs/>
          <w:i/>
        </w:rPr>
        <w:t>de</w:t>
      </w:r>
      <w:r w:rsidRPr="005F2C03">
        <w:rPr>
          <w:rFonts w:cs="Arial"/>
          <w:bCs/>
          <w:i/>
          <w:spacing w:val="13"/>
        </w:rPr>
        <w:t xml:space="preserve"> </w:t>
      </w:r>
      <w:r w:rsidRPr="005F2C03">
        <w:rPr>
          <w:rFonts w:cs="Arial"/>
          <w:bCs/>
          <w:i/>
        </w:rPr>
        <w:t>los</w:t>
      </w:r>
      <w:r w:rsidRPr="005F2C03">
        <w:rPr>
          <w:rFonts w:cs="Arial"/>
          <w:bCs/>
          <w:i/>
          <w:spacing w:val="14"/>
        </w:rPr>
        <w:t xml:space="preserve"> </w:t>
      </w:r>
      <w:r w:rsidRPr="005F2C03">
        <w:rPr>
          <w:rFonts w:cs="Arial"/>
          <w:bCs/>
          <w:i/>
        </w:rPr>
        <w:t>perjuicios</w:t>
      </w:r>
      <w:r w:rsidRPr="005F2C03">
        <w:rPr>
          <w:rFonts w:cs="Arial"/>
          <w:bCs/>
          <w:i/>
          <w:spacing w:val="15"/>
        </w:rPr>
        <w:t xml:space="preserve"> </w:t>
      </w:r>
      <w:r w:rsidRPr="005F2C03">
        <w:rPr>
          <w:rFonts w:cs="Arial"/>
          <w:bCs/>
          <w:i/>
        </w:rPr>
        <w:t>causados</w:t>
      </w:r>
      <w:r w:rsidRPr="005F2C03">
        <w:rPr>
          <w:rFonts w:cs="Arial"/>
          <w:bCs/>
          <w:i/>
          <w:spacing w:val="14"/>
        </w:rPr>
        <w:t xml:space="preserve"> </w:t>
      </w:r>
      <w:r w:rsidRPr="005F2C03">
        <w:rPr>
          <w:rFonts w:cs="Arial"/>
          <w:bCs/>
          <w:i/>
        </w:rPr>
        <w:t>al</w:t>
      </w:r>
      <w:r w:rsidRPr="005F2C03">
        <w:rPr>
          <w:rFonts w:cs="Arial"/>
          <w:bCs/>
          <w:i/>
          <w:spacing w:val="12"/>
        </w:rPr>
        <w:t xml:space="preserve"> </w:t>
      </w:r>
      <w:r w:rsidRPr="005F2C03">
        <w:rPr>
          <w:rFonts w:cs="Arial"/>
          <w:bCs/>
          <w:i/>
        </w:rPr>
        <w:t>erario</w:t>
      </w:r>
      <w:r w:rsidRPr="005F2C03">
        <w:rPr>
          <w:rFonts w:cs="Arial"/>
          <w:bCs/>
          <w:i/>
          <w:spacing w:val="16"/>
        </w:rPr>
        <w:t xml:space="preserve"> </w:t>
      </w:r>
      <w:r w:rsidRPr="005F2C03">
        <w:rPr>
          <w:rFonts w:cs="Arial"/>
          <w:bCs/>
          <w:i/>
        </w:rPr>
        <w:t>procederá</w:t>
      </w:r>
      <w:r w:rsidRPr="005F2C03">
        <w:rPr>
          <w:rFonts w:cs="Arial"/>
          <w:bCs/>
          <w:i/>
          <w:spacing w:val="14"/>
        </w:rPr>
        <w:t xml:space="preserve"> </w:t>
      </w:r>
      <w:r w:rsidRPr="005F2C03">
        <w:rPr>
          <w:rFonts w:cs="Arial"/>
          <w:bCs/>
          <w:i/>
        </w:rPr>
        <w:t>como</w:t>
      </w:r>
      <w:r w:rsidRPr="005F2C03">
        <w:rPr>
          <w:rFonts w:cs="Arial"/>
          <w:bCs/>
          <w:i/>
          <w:spacing w:val="13"/>
        </w:rPr>
        <w:t xml:space="preserve"> </w:t>
      </w:r>
      <w:r w:rsidRPr="005F2C03">
        <w:rPr>
          <w:rFonts w:cs="Arial"/>
          <w:bCs/>
          <w:i/>
        </w:rPr>
        <w:t>sanción</w:t>
      </w:r>
      <w:r w:rsidRPr="005F2C03">
        <w:rPr>
          <w:rFonts w:cs="Arial"/>
          <w:bCs/>
          <w:i/>
          <w:spacing w:val="16"/>
        </w:rPr>
        <w:t xml:space="preserve"> </w:t>
      </w:r>
      <w:r w:rsidRPr="005F2C03">
        <w:rPr>
          <w:rFonts w:cs="Arial"/>
          <w:bCs/>
          <w:i/>
        </w:rPr>
        <w:t>accesoria</w:t>
      </w:r>
      <w:r w:rsidRPr="005F2C03">
        <w:rPr>
          <w:rFonts w:cs="Arial"/>
          <w:bCs/>
          <w:i/>
          <w:spacing w:val="13"/>
        </w:rPr>
        <w:t xml:space="preserve"> </w:t>
      </w:r>
      <w:r w:rsidRPr="005F2C03">
        <w:rPr>
          <w:rFonts w:cs="Arial"/>
          <w:bCs/>
          <w:i/>
        </w:rPr>
        <w:t>a</w:t>
      </w:r>
      <w:r w:rsidRPr="005F2C03">
        <w:rPr>
          <w:rFonts w:cs="Arial"/>
          <w:bCs/>
          <w:i/>
          <w:spacing w:val="-59"/>
        </w:rPr>
        <w:t xml:space="preserve"> </w:t>
      </w:r>
      <w:r w:rsidRPr="005F2C03">
        <w:rPr>
          <w:rFonts w:cs="Arial"/>
          <w:bCs/>
          <w:i/>
        </w:rPr>
        <w:t>la principal que se imponga dentro de los procesos disciplinarios que se adelanten por</w:t>
      </w:r>
      <w:r w:rsidRPr="005F2C03">
        <w:rPr>
          <w:rFonts w:cs="Arial"/>
          <w:bCs/>
          <w:i/>
          <w:spacing w:val="1"/>
        </w:rPr>
        <w:t xml:space="preserve"> </w:t>
      </w:r>
      <w:r w:rsidRPr="005F2C03">
        <w:rPr>
          <w:rFonts w:cs="Arial"/>
          <w:bCs/>
          <w:i/>
        </w:rPr>
        <w:t>tales conductas o como consecuencia civil derivada de la comisión de hechos punibles,</w:t>
      </w:r>
      <w:r w:rsidRPr="005F2C03">
        <w:rPr>
          <w:rFonts w:cs="Arial"/>
          <w:bCs/>
          <w:i/>
          <w:spacing w:val="1"/>
        </w:rPr>
        <w:t xml:space="preserve"> </w:t>
      </w:r>
      <w:r w:rsidRPr="005F2C03">
        <w:rPr>
          <w:rFonts w:cs="Arial"/>
          <w:bCs/>
          <w:i/>
        </w:rPr>
        <w:t>según que los hechos que originaron su ocurrencia correspondan a las faltas que sobre</w:t>
      </w:r>
      <w:r w:rsidRPr="005F2C03">
        <w:rPr>
          <w:rFonts w:cs="Arial"/>
          <w:bCs/>
          <w:i/>
          <w:spacing w:val="1"/>
        </w:rPr>
        <w:t xml:space="preserve"> </w:t>
      </w:r>
      <w:r w:rsidRPr="005F2C03">
        <w:rPr>
          <w:rFonts w:cs="Arial"/>
          <w:bCs/>
          <w:i/>
        </w:rPr>
        <w:t>guarda y custodia de los bienes estatales establece el Código Disciplinario Único o a los delitos</w:t>
      </w:r>
      <w:r w:rsidRPr="005F2C03">
        <w:rPr>
          <w:rFonts w:cs="Arial"/>
          <w:bCs/>
          <w:i/>
          <w:spacing w:val="-1"/>
        </w:rPr>
        <w:t xml:space="preserve"> </w:t>
      </w:r>
      <w:r w:rsidRPr="005F2C03">
        <w:rPr>
          <w:rFonts w:cs="Arial"/>
          <w:bCs/>
          <w:i/>
        </w:rPr>
        <w:t>tipificados en</w:t>
      </w:r>
      <w:r w:rsidRPr="005F2C03">
        <w:rPr>
          <w:rFonts w:cs="Arial"/>
          <w:bCs/>
          <w:i/>
          <w:spacing w:val="-2"/>
        </w:rPr>
        <w:t xml:space="preserve"> </w:t>
      </w:r>
      <w:r w:rsidRPr="005F2C03">
        <w:rPr>
          <w:rFonts w:cs="Arial"/>
          <w:bCs/>
          <w:i/>
        </w:rPr>
        <w:t>la</w:t>
      </w:r>
      <w:r w:rsidRPr="005F2C03">
        <w:rPr>
          <w:rFonts w:cs="Arial"/>
          <w:bCs/>
          <w:i/>
          <w:spacing w:val="-1"/>
        </w:rPr>
        <w:t xml:space="preserve"> </w:t>
      </w:r>
      <w:r w:rsidRPr="005F2C03">
        <w:rPr>
          <w:rFonts w:cs="Arial"/>
          <w:bCs/>
          <w:i/>
        </w:rPr>
        <w:t>legislación penal”.</w:t>
      </w:r>
    </w:p>
    <w:p w14:paraId="5DBD9E64" w14:textId="77777777" w:rsidR="00C4639A" w:rsidRPr="005F2C03" w:rsidRDefault="00C4639A" w:rsidP="00C4639A">
      <w:pPr>
        <w:ind w:left="709"/>
        <w:jc w:val="both"/>
        <w:rPr>
          <w:rFonts w:cs="Arial"/>
          <w:bCs/>
          <w:i/>
        </w:rPr>
      </w:pPr>
    </w:p>
    <w:p w14:paraId="4E724276" w14:textId="77777777" w:rsidR="00C4639A" w:rsidRPr="005F2C03" w:rsidRDefault="00C4639A" w:rsidP="00C4639A">
      <w:pPr>
        <w:ind w:left="708"/>
        <w:jc w:val="both"/>
        <w:rPr>
          <w:rFonts w:cs="Arial"/>
          <w:bCs/>
          <w:i/>
          <w:iCs/>
        </w:rPr>
      </w:pPr>
      <w:r w:rsidRPr="005F2C03">
        <w:rPr>
          <w:rFonts w:cs="Arial"/>
          <w:bCs/>
        </w:rPr>
        <w:t>Artículo 44:</w:t>
      </w:r>
      <w:r w:rsidRPr="005F2C03">
        <w:rPr>
          <w:rFonts w:cs="Arial"/>
          <w:bCs/>
          <w:i/>
          <w:iCs/>
        </w:rPr>
        <w:t xml:space="preserve"> “VINCULACION DEL GARANTE. Cuando el presunto responsable, o el bien o contrato sobre el cual recaiga el objeto del proceso, se encuentren amparados por una póliza, se vinculará al proceso a la compañía de seguros, en calidad de tercero civilmente responsable, en cuya virtud tendrá los mismos derechos y facultades del principal implicado.”</w:t>
      </w:r>
    </w:p>
    <w:p w14:paraId="106C846F" w14:textId="77777777" w:rsidR="00C4639A" w:rsidRPr="005F2C03" w:rsidRDefault="00C4639A" w:rsidP="00C4639A">
      <w:pPr>
        <w:ind w:left="708"/>
        <w:jc w:val="both"/>
        <w:rPr>
          <w:rFonts w:cs="Arial"/>
          <w:bCs/>
          <w:i/>
          <w:iCs/>
        </w:rPr>
      </w:pPr>
    </w:p>
    <w:p w14:paraId="2E214874" w14:textId="77777777" w:rsidR="00C4639A" w:rsidRPr="005F2C03" w:rsidRDefault="00C4639A" w:rsidP="00C4639A">
      <w:pPr>
        <w:jc w:val="both"/>
        <w:rPr>
          <w:rFonts w:cs="Arial"/>
          <w:bCs/>
        </w:rPr>
      </w:pPr>
      <w:r w:rsidRPr="005F2C03">
        <w:rPr>
          <w:rFonts w:cs="Arial"/>
          <w:bCs/>
        </w:rPr>
        <w:t>CIRCULAR CONJUNTA 02 DE 2003, suscrita por el Contralor General de la República y el Procurador General de la Nación, el 16 de diciembre de 2003, se señalan los deberes de las entidades en la administración y cuidado de los bienes, la responsabilidad fiscal y disciplinaria de los funcionarios públicos por perdida o daño de los bienes a su cargo, entre otros. A continuación, se cita un aparte de la mencionada circular, respecto al deber de las entidades de asegurar los bienes:</w:t>
      </w:r>
    </w:p>
    <w:p w14:paraId="4DE55179" w14:textId="77777777" w:rsidR="00C4639A" w:rsidRPr="005F2C03" w:rsidRDefault="00C4639A" w:rsidP="00C4639A">
      <w:pPr>
        <w:jc w:val="both"/>
        <w:rPr>
          <w:rFonts w:cs="Arial"/>
          <w:bCs/>
        </w:rPr>
      </w:pPr>
    </w:p>
    <w:p w14:paraId="717365CC" w14:textId="77777777" w:rsidR="00C4639A" w:rsidRPr="005F2C03" w:rsidRDefault="00C4639A" w:rsidP="00C4639A">
      <w:pPr>
        <w:ind w:left="708"/>
        <w:jc w:val="both"/>
        <w:rPr>
          <w:rFonts w:cs="Arial"/>
          <w:i/>
        </w:rPr>
      </w:pPr>
      <w:r w:rsidRPr="005F2C03">
        <w:rPr>
          <w:rFonts w:cs="Arial"/>
          <w:i/>
        </w:rPr>
        <w:t xml:space="preserve">“El Contralor General de la República y el Procurador General de la Nación, en el ejercicio de las funciones constitucionales previstas en los artículos 267, 268 y 277, que establecen bajo su dirección el ejercicio de las funciones fiscal y disciplinaria, desarrolladas en las Leyes 42 de 1993 y 610 de 2000, Decreto-ley 262 de 2000 y Ley 734 de 2002, respectivamente, </w:t>
      </w:r>
      <w:r w:rsidRPr="005F2C03">
        <w:rPr>
          <w:rFonts w:cs="Arial"/>
          <w:b/>
          <w:i/>
          <w:u w:val="single"/>
        </w:rPr>
        <w:t>previenen a los servidores públicos sobre la responsabilidad que se derivaría en su contra por detrimento del patrimonio público como consecuencia de la pérdida, daño o deterioro de bienes que se les haya asignado para el ejercicio de sus funciones</w:t>
      </w:r>
      <w:r w:rsidRPr="005F2C03">
        <w:rPr>
          <w:rFonts w:cs="Arial"/>
          <w:i/>
        </w:rPr>
        <w:t>, por causas diferentes del desgaste natural que sufren las cosas y bienes en servicio o inservibles no dados de baja.</w:t>
      </w:r>
    </w:p>
    <w:p w14:paraId="731530F4" w14:textId="77777777" w:rsidR="00C4639A" w:rsidRPr="005F2C03" w:rsidRDefault="00C4639A" w:rsidP="00C4639A">
      <w:pPr>
        <w:ind w:left="708"/>
        <w:jc w:val="both"/>
        <w:rPr>
          <w:rFonts w:cs="Arial"/>
          <w:i/>
        </w:rPr>
      </w:pPr>
    </w:p>
    <w:p w14:paraId="0F03E593" w14:textId="77777777" w:rsidR="00C4639A" w:rsidRPr="005F2C03" w:rsidRDefault="00C4639A" w:rsidP="00C4639A">
      <w:pPr>
        <w:ind w:left="284" w:firstLine="424"/>
        <w:jc w:val="both"/>
        <w:rPr>
          <w:rFonts w:cs="Arial"/>
          <w:i/>
        </w:rPr>
      </w:pPr>
      <w:r w:rsidRPr="005F2C03">
        <w:rPr>
          <w:rFonts w:cs="Arial"/>
          <w:i/>
        </w:rPr>
        <w:t> (...)</w:t>
      </w:r>
    </w:p>
    <w:p w14:paraId="238ADF4B" w14:textId="77777777" w:rsidR="00C4639A" w:rsidRPr="005F2C03" w:rsidRDefault="00C4639A" w:rsidP="00C4639A">
      <w:pPr>
        <w:ind w:left="284" w:firstLine="424"/>
        <w:jc w:val="both"/>
        <w:rPr>
          <w:rFonts w:cs="Arial"/>
          <w:i/>
        </w:rPr>
      </w:pPr>
    </w:p>
    <w:p w14:paraId="21A4FE24" w14:textId="77777777" w:rsidR="00C4639A" w:rsidRPr="005F2C03" w:rsidRDefault="00C4639A" w:rsidP="00C4639A">
      <w:pPr>
        <w:ind w:left="708"/>
        <w:jc w:val="both"/>
        <w:rPr>
          <w:rFonts w:cs="Arial"/>
          <w:i/>
        </w:rPr>
      </w:pPr>
      <w:r w:rsidRPr="005F2C03">
        <w:rPr>
          <w:rFonts w:cs="Arial"/>
          <w:i/>
        </w:rPr>
        <w:lastRenderedPageBreak/>
        <w:t>Todas l</w:t>
      </w:r>
      <w:r w:rsidRPr="005F2C03">
        <w:rPr>
          <w:rFonts w:cs="Arial"/>
          <w:i/>
          <w:u w:val="single"/>
        </w:rPr>
        <w:t xml:space="preserve">as entidades públicas, en desarrollo de su gestión fiscal, tienen la obligación legal de implementar mecanismos idóneos que permitan cumplir con la función de vigilancia y control de los fondos y bienes públicos </w:t>
      </w:r>
      <w:r w:rsidRPr="005F2C03">
        <w:rPr>
          <w:rFonts w:cs="Arial"/>
          <w:i/>
        </w:rPr>
        <w:t xml:space="preserve">asignados, sin perjuicio de la competencia del órgano de control fiscal, a fin de prever el daño o pérdida patrimonial, por acción u omisión. En ese orden de ideas, resulta prioritario el establecimiento de controles internos necesarios que impidan o por lo menos minimicen los riesgos sobre sus activos. Se debe por tanto establecer entre otros, un sistema efectivo de control de inventarios, el cual periódicamente debe ser revisado; </w:t>
      </w:r>
      <w:r w:rsidRPr="005F2C03">
        <w:rPr>
          <w:rFonts w:cs="Arial"/>
          <w:b/>
          <w:i/>
          <w:u w:val="single"/>
        </w:rPr>
        <w:t>exigir a quienes tienen a cargo el manejo de bienes o fondos la constitución de pólizas de acuerdo con el artículo 107 de la ley 42 de 1993</w:t>
      </w:r>
      <w:r w:rsidRPr="005F2C03">
        <w:rPr>
          <w:rFonts w:cs="Arial"/>
          <w:i/>
        </w:rPr>
        <w:t>, así como la actualización de la información sobre el estado de los activos que conforman su patrimonio personal. (…).</w:t>
      </w:r>
    </w:p>
    <w:p w14:paraId="51B65FE7" w14:textId="77777777" w:rsidR="00C4639A" w:rsidRPr="005F2C03" w:rsidRDefault="00C4639A" w:rsidP="00C4639A">
      <w:pPr>
        <w:ind w:left="708"/>
        <w:jc w:val="both"/>
        <w:rPr>
          <w:rFonts w:cs="Arial"/>
          <w:i/>
        </w:rPr>
      </w:pPr>
    </w:p>
    <w:p w14:paraId="5C89FCEE" w14:textId="77777777" w:rsidR="00C4639A" w:rsidRPr="005F2C03" w:rsidRDefault="00C4639A" w:rsidP="00C4639A">
      <w:pPr>
        <w:ind w:left="708" w:firstLine="45"/>
        <w:jc w:val="both"/>
        <w:rPr>
          <w:rFonts w:cs="Arial"/>
          <w:i/>
        </w:rPr>
      </w:pPr>
      <w:r w:rsidRPr="005F2C03">
        <w:rPr>
          <w:rFonts w:cs="Arial"/>
          <w:i/>
        </w:rPr>
        <w:t xml:space="preserve">De igual manera, para amortizar el impacto económico contra el patrimonio público por el asunto antes referido, se solicita a todos los destinatarios de la presente circular </w:t>
      </w:r>
      <w:r w:rsidRPr="005F2C03">
        <w:rPr>
          <w:rFonts w:cs="Arial"/>
          <w:b/>
          <w:i/>
          <w:u w:val="single"/>
        </w:rPr>
        <w:t>mantener vigentes las pólizas de seguro que amparan los bienes estatales por su valor real.</w:t>
      </w:r>
      <w:r w:rsidRPr="005F2C03">
        <w:rPr>
          <w:rFonts w:cs="Arial"/>
          <w:i/>
        </w:rPr>
        <w:t xml:space="preserve"> Los órganos de control fiscal estarán atentos con el cumplimiento de la presente disposición, cuya omisión constituye falta gravísima sancionable con destitución, al tenor de lo dispuesto en el numeral 63 del artículo 48 de la Ley 734 de 2002, ello sin perjuicio de las acciones fiscales a que haya lugar”. (subrayado y negrillas fuera de texto). </w:t>
      </w:r>
    </w:p>
    <w:p w14:paraId="34B91266" w14:textId="77777777" w:rsidR="00C4639A" w:rsidRPr="005F2C03" w:rsidRDefault="00C4639A" w:rsidP="00C4639A">
      <w:pPr>
        <w:jc w:val="both"/>
        <w:rPr>
          <w:rFonts w:cs="Arial"/>
        </w:rPr>
      </w:pPr>
    </w:p>
    <w:p w14:paraId="3B03A806" w14:textId="77777777" w:rsidR="00C4639A" w:rsidRPr="005F2C03" w:rsidRDefault="00C4639A" w:rsidP="00C4639A">
      <w:pPr>
        <w:jc w:val="both"/>
        <w:rPr>
          <w:rFonts w:cs="Arial"/>
          <w:i/>
        </w:rPr>
      </w:pPr>
      <w:r w:rsidRPr="005F2C03">
        <w:rPr>
          <w:rFonts w:cs="Arial"/>
        </w:rPr>
        <w:t xml:space="preserve">Por otro lado, en cuanto al aseguramiento de los bienes públicos, es necesario manifestar que en sentencia de la Corte Constitucional C-735 de 2003, la Contraloría General de la República interviene con el fin de aclarar, entre otros asuntos el siguiente: </w:t>
      </w:r>
      <w:r w:rsidRPr="005F2C03">
        <w:rPr>
          <w:rFonts w:cs="Arial"/>
          <w:i/>
        </w:rPr>
        <w:t>“las entidades estatales deben velar porque sus bienes en general estén protegidos contra hechos futuros e inciertos que puedan causarle perjuicio o detrimento al funcionario público. En este sentido, los órganos de control fiscal deben verificar que los bienes públicos, se encuentren asegurados adecuadamente, es decir, que estos tengan la cobertura suficiente, con el fin de que el erario público esté cubierto contra cualquier desmedro, que el hecho de un tercero o uno de sus funcionarios pueda ocasionarle, de manera tal que sea resarcido de los daños ocasionados por la ocurrencia del siniestro o riesgo asegurado”.</w:t>
      </w:r>
    </w:p>
    <w:p w14:paraId="1651C746" w14:textId="77777777" w:rsidR="00C4639A" w:rsidRPr="005F2C03" w:rsidRDefault="00C4639A" w:rsidP="00C4639A">
      <w:pPr>
        <w:jc w:val="both"/>
        <w:rPr>
          <w:rFonts w:cs="Arial"/>
          <w:i/>
        </w:rPr>
      </w:pPr>
    </w:p>
    <w:p w14:paraId="5A567AC8" w14:textId="77777777" w:rsidR="00C4639A" w:rsidRPr="005F2C03" w:rsidRDefault="00C4639A" w:rsidP="00C4639A">
      <w:pPr>
        <w:jc w:val="both"/>
        <w:rPr>
          <w:rFonts w:cs="Arial"/>
        </w:rPr>
      </w:pPr>
      <w:r w:rsidRPr="005F2C03">
        <w:rPr>
          <w:rFonts w:cs="Arial"/>
        </w:rPr>
        <w:t>LEY 1474 DE 2011 – ESTATUTO ANTICORRUPCIÓN, por la cual se dictan normas orientadas a fortalecer los mecanismos de prevención, investigación y sanción de actos de corrupción y la efectividad del control de la gestión pública, señala:</w:t>
      </w:r>
    </w:p>
    <w:p w14:paraId="42B126E5" w14:textId="77777777" w:rsidR="00C4639A" w:rsidRPr="005F2C03" w:rsidRDefault="00C4639A" w:rsidP="00C4639A">
      <w:pPr>
        <w:shd w:val="clear" w:color="auto" w:fill="FFFFFF"/>
        <w:ind w:left="708"/>
        <w:jc w:val="both"/>
        <w:rPr>
          <w:rFonts w:cs="Arial"/>
          <w:lang w:eastAsia="es-CO"/>
        </w:rPr>
      </w:pPr>
    </w:p>
    <w:p w14:paraId="212DE9AC" w14:textId="77777777" w:rsidR="00C4639A" w:rsidRPr="005F2C03" w:rsidRDefault="00C4639A" w:rsidP="00C4639A">
      <w:pPr>
        <w:shd w:val="clear" w:color="auto" w:fill="FFFFFF"/>
        <w:ind w:left="708"/>
        <w:jc w:val="both"/>
        <w:rPr>
          <w:rFonts w:cs="Arial"/>
          <w:bCs/>
          <w:i/>
          <w:iCs/>
          <w:lang w:eastAsia="es-CO"/>
        </w:rPr>
      </w:pPr>
      <w:r w:rsidRPr="005F2C03">
        <w:rPr>
          <w:rFonts w:cs="Arial"/>
          <w:bCs/>
          <w:lang w:eastAsia="es-CO"/>
        </w:rPr>
        <w:t xml:space="preserve">Artículo 118: </w:t>
      </w:r>
      <w:r w:rsidRPr="005F2C03">
        <w:rPr>
          <w:rFonts w:cs="Arial"/>
          <w:bCs/>
          <w:i/>
          <w:iCs/>
          <w:lang w:eastAsia="es-CO"/>
        </w:rPr>
        <w:t>DETERMINACIÓN DE LA CULPABILIDAD EN LOS PROCESOS DE RESPONSABILIDAD FISCAL. El grado de culpabilidad para establecer la existencia de responsabilidad fiscal será el dolo o la culpa grave.</w:t>
      </w:r>
    </w:p>
    <w:p w14:paraId="796A3416" w14:textId="77777777" w:rsidR="00C4639A" w:rsidRPr="005F2C03" w:rsidRDefault="00C4639A" w:rsidP="00C4639A">
      <w:pPr>
        <w:shd w:val="clear" w:color="auto" w:fill="FFFFFF"/>
        <w:ind w:left="708"/>
        <w:jc w:val="both"/>
        <w:rPr>
          <w:rFonts w:cs="Arial"/>
          <w:bCs/>
          <w:i/>
          <w:iCs/>
        </w:rPr>
      </w:pPr>
    </w:p>
    <w:p w14:paraId="7A5D3091" w14:textId="77777777" w:rsidR="00C4639A" w:rsidRPr="005F2C03" w:rsidRDefault="00C4639A" w:rsidP="00C4639A">
      <w:pPr>
        <w:shd w:val="clear" w:color="auto" w:fill="FFFFFF"/>
        <w:ind w:left="708"/>
        <w:jc w:val="both"/>
        <w:rPr>
          <w:rFonts w:cs="Arial"/>
          <w:bCs/>
          <w:i/>
          <w:iCs/>
        </w:rPr>
      </w:pPr>
      <w:r w:rsidRPr="005F2C03">
        <w:rPr>
          <w:rFonts w:cs="Arial"/>
          <w:bCs/>
          <w:i/>
          <w:iCs/>
        </w:rPr>
        <w:t>Se presumirá que el gestor fiscal ha obrado con dolo cuando por los mismos hechos haya sido condenado penalmente o sancionado disciplinariamente por la comisión de un delito o una falta disciplinaria imputados a ese título.</w:t>
      </w:r>
    </w:p>
    <w:p w14:paraId="641D1F30" w14:textId="77777777" w:rsidR="00C4639A" w:rsidRPr="005F2C03" w:rsidRDefault="00C4639A" w:rsidP="00C4639A">
      <w:pPr>
        <w:shd w:val="clear" w:color="auto" w:fill="FFFFFF"/>
        <w:ind w:left="708"/>
        <w:jc w:val="both"/>
        <w:rPr>
          <w:rFonts w:cs="Arial"/>
          <w:bCs/>
          <w:i/>
          <w:iCs/>
        </w:rPr>
      </w:pPr>
    </w:p>
    <w:p w14:paraId="4C425FA9" w14:textId="77777777" w:rsidR="00C4639A" w:rsidRPr="005F2C03" w:rsidRDefault="00C4639A" w:rsidP="00C4639A">
      <w:pPr>
        <w:shd w:val="clear" w:color="auto" w:fill="FFFFFF"/>
        <w:ind w:left="708"/>
        <w:jc w:val="both"/>
        <w:rPr>
          <w:rFonts w:cs="Arial"/>
          <w:i/>
          <w:iCs/>
        </w:rPr>
      </w:pPr>
      <w:r w:rsidRPr="005F2C03">
        <w:rPr>
          <w:rFonts w:cs="Arial"/>
          <w:bCs/>
          <w:i/>
          <w:iCs/>
        </w:rPr>
        <w:t>Se presumirá</w:t>
      </w:r>
      <w:r w:rsidRPr="005F2C03">
        <w:rPr>
          <w:rFonts w:cs="Arial"/>
          <w:i/>
          <w:iCs/>
        </w:rPr>
        <w:t xml:space="preserve"> que el gestor fiscal ha obrado con culpa grave en los siguientes eventos:</w:t>
      </w:r>
    </w:p>
    <w:p w14:paraId="295CAD77" w14:textId="77777777" w:rsidR="00C4639A" w:rsidRPr="005F2C03" w:rsidRDefault="00C4639A" w:rsidP="00C4639A">
      <w:pPr>
        <w:shd w:val="clear" w:color="auto" w:fill="FFFFFF"/>
        <w:ind w:left="708"/>
        <w:jc w:val="both"/>
        <w:rPr>
          <w:rFonts w:cs="Arial"/>
          <w:i/>
          <w:iCs/>
        </w:rPr>
      </w:pPr>
    </w:p>
    <w:p w14:paraId="63776440" w14:textId="77777777" w:rsidR="00C4639A" w:rsidRPr="005F2C03" w:rsidRDefault="00C4639A" w:rsidP="00C4639A">
      <w:pPr>
        <w:shd w:val="clear" w:color="auto" w:fill="FFFFFF"/>
        <w:ind w:left="708"/>
        <w:jc w:val="both"/>
        <w:rPr>
          <w:rFonts w:cs="Arial"/>
          <w:i/>
          <w:iCs/>
        </w:rPr>
      </w:pPr>
      <w:r w:rsidRPr="005F2C03">
        <w:rPr>
          <w:rFonts w:cs="Arial"/>
          <w:i/>
          <w:iCs/>
        </w:rPr>
        <w:t xml:space="preserve">(…) </w:t>
      </w:r>
    </w:p>
    <w:p w14:paraId="764DEA07" w14:textId="77777777" w:rsidR="00C4639A" w:rsidRPr="005F2C03" w:rsidRDefault="00C4639A" w:rsidP="00C4639A">
      <w:pPr>
        <w:shd w:val="clear" w:color="auto" w:fill="FFFFFF"/>
        <w:ind w:left="708"/>
        <w:jc w:val="both"/>
        <w:rPr>
          <w:rFonts w:cs="Arial"/>
        </w:rPr>
      </w:pPr>
      <w:r w:rsidRPr="005F2C03">
        <w:rPr>
          <w:rFonts w:cs="Arial"/>
          <w:i/>
          <w:iCs/>
        </w:rPr>
        <w:lastRenderedPageBreak/>
        <w:t>d) Cuando se haya incumplido la obligación de asegurar los bienes de la entidad o la de hacer exigibles las pólizas o garantías</w:t>
      </w:r>
      <w:r w:rsidRPr="005F2C03">
        <w:rPr>
          <w:rFonts w:cs="Arial"/>
        </w:rPr>
        <w:t xml:space="preserve"> frente al acaecimiento de los siniestros o el incumplimiento de los contratos.</w:t>
      </w:r>
    </w:p>
    <w:p w14:paraId="2617F546" w14:textId="77777777" w:rsidR="00C4639A" w:rsidRPr="005F2C03" w:rsidRDefault="00C4639A" w:rsidP="00C4639A">
      <w:pPr>
        <w:jc w:val="both"/>
        <w:rPr>
          <w:rFonts w:cs="Arial"/>
          <w:b/>
        </w:rPr>
      </w:pPr>
    </w:p>
    <w:p w14:paraId="0029331C" w14:textId="77777777" w:rsidR="00C4639A" w:rsidRPr="005F2C03" w:rsidRDefault="00C4639A" w:rsidP="00C4639A">
      <w:pPr>
        <w:jc w:val="both"/>
        <w:rPr>
          <w:rFonts w:eastAsia="MS Mincho" w:cs="Arial"/>
          <w:bCs/>
          <w:lang w:eastAsia="es-CO"/>
        </w:rPr>
      </w:pPr>
      <w:r w:rsidRPr="005F2C03">
        <w:rPr>
          <w:rFonts w:cs="Arial"/>
          <w:bCs/>
        </w:rPr>
        <w:t>LEY 1952 DE 2019</w:t>
      </w:r>
      <w:r w:rsidRPr="005F2C03">
        <w:rPr>
          <w:rFonts w:cs="Arial"/>
          <w:bCs/>
          <w:lang w:eastAsia="es-CO"/>
        </w:rPr>
        <w:t xml:space="preserve"> </w:t>
      </w:r>
      <w:r w:rsidRPr="005F2C03">
        <w:rPr>
          <w:rFonts w:eastAsia="MS Mincho" w:cs="Arial"/>
          <w:bCs/>
          <w:lang w:eastAsia="es-CO"/>
        </w:rPr>
        <w:t>Por medio de la cual se expide el código general disciplinario se derogan la Ley 734 de 2002 y algunas disposiciones de la Ley 1474 de 2011, relacionadas con el derecho disciplinario.</w:t>
      </w:r>
    </w:p>
    <w:p w14:paraId="479A60E2" w14:textId="77777777" w:rsidR="00C4639A" w:rsidRPr="005F2C03" w:rsidRDefault="00C4639A" w:rsidP="00C4639A">
      <w:pPr>
        <w:jc w:val="both"/>
        <w:rPr>
          <w:rFonts w:eastAsia="MS Mincho" w:cs="Arial"/>
          <w:bCs/>
          <w:lang w:eastAsia="es-CO"/>
        </w:rPr>
      </w:pPr>
    </w:p>
    <w:p w14:paraId="0883A249" w14:textId="77777777" w:rsidR="00C4639A" w:rsidRPr="005F2C03" w:rsidRDefault="00C4639A" w:rsidP="00C4639A">
      <w:pPr>
        <w:ind w:left="492"/>
        <w:jc w:val="both"/>
        <w:rPr>
          <w:rFonts w:eastAsia="MS Mincho" w:cs="Arial"/>
          <w:bCs/>
          <w:i/>
          <w:iCs/>
          <w:lang w:val="es-ES_tradnl" w:eastAsia="es-CO"/>
        </w:rPr>
      </w:pPr>
      <w:r w:rsidRPr="005F2C03">
        <w:rPr>
          <w:rFonts w:eastAsia="MS Mincho" w:cs="Arial"/>
          <w:bCs/>
          <w:lang w:eastAsia="es-CO"/>
        </w:rPr>
        <w:t xml:space="preserve">Artículo 38, DEBERES, Numeral 22: </w:t>
      </w:r>
      <w:r w:rsidRPr="005F2C03">
        <w:rPr>
          <w:rFonts w:eastAsia="MS Mincho" w:cs="Arial"/>
          <w:bCs/>
          <w:i/>
          <w:iCs/>
          <w:lang w:eastAsia="es-CO"/>
        </w:rPr>
        <w:t>“Vigilar y salvaguardar los bienes y valores que le han sido encomendados y cuidar que sean utilizados debida y racionalmente, de conformidad con los fines a que han sido destinados”</w:t>
      </w:r>
    </w:p>
    <w:p w14:paraId="3CF586C3" w14:textId="77777777" w:rsidR="00C4639A" w:rsidRPr="005F2C03" w:rsidRDefault="00C4639A" w:rsidP="00C4639A">
      <w:pPr>
        <w:ind w:left="492"/>
        <w:jc w:val="both"/>
        <w:rPr>
          <w:rFonts w:eastAsia="MS Mincho" w:cs="Arial"/>
          <w:bCs/>
          <w:lang w:eastAsia="es-CO"/>
        </w:rPr>
      </w:pPr>
    </w:p>
    <w:p w14:paraId="323FC22E" w14:textId="77777777" w:rsidR="00C4639A" w:rsidRPr="005F2C03" w:rsidRDefault="00C4639A" w:rsidP="00C4639A">
      <w:pPr>
        <w:ind w:left="492"/>
        <w:jc w:val="both"/>
        <w:rPr>
          <w:rFonts w:eastAsia="MS Mincho" w:cs="Arial"/>
          <w:bCs/>
          <w:i/>
          <w:iCs/>
          <w:lang w:eastAsia="es-CO"/>
        </w:rPr>
      </w:pPr>
      <w:r w:rsidRPr="005F2C03">
        <w:rPr>
          <w:rFonts w:eastAsia="MS Mincho" w:cs="Arial"/>
          <w:bCs/>
          <w:lang w:eastAsia="es-CO"/>
        </w:rPr>
        <w:t xml:space="preserve">Artículo 57, FALTAS GRAVÍSIMAS - FALTAS RELACIONADAS CON LA HACIENDA PUBLICA, Numeral 13: </w:t>
      </w:r>
      <w:r w:rsidRPr="005F2C03">
        <w:rPr>
          <w:rFonts w:eastAsia="MS Mincho" w:cs="Arial"/>
          <w:bCs/>
          <w:i/>
          <w:iCs/>
          <w:lang w:eastAsia="es-CO"/>
        </w:rPr>
        <w:t>“No asegurar por su valor real los bienes del Estado ni hacer las apropiaciones presupuestales pertinentes”.</w:t>
      </w:r>
    </w:p>
    <w:p w14:paraId="5309224C" w14:textId="77777777" w:rsidR="00C4639A" w:rsidRPr="005F2C03" w:rsidRDefault="00C4639A" w:rsidP="00C4639A">
      <w:pPr>
        <w:ind w:left="492"/>
        <w:jc w:val="both"/>
        <w:rPr>
          <w:rFonts w:eastAsia="MS Mincho" w:cs="Arial"/>
          <w:bCs/>
          <w:lang w:eastAsia="es-CO"/>
        </w:rPr>
      </w:pPr>
    </w:p>
    <w:p w14:paraId="2075914E" w14:textId="77777777" w:rsidR="00C4639A" w:rsidRPr="005F2C03" w:rsidRDefault="00C4639A" w:rsidP="00C4639A">
      <w:pPr>
        <w:ind w:left="492"/>
        <w:jc w:val="both"/>
        <w:rPr>
          <w:rFonts w:eastAsia="MS Mincho" w:cs="Arial"/>
          <w:bCs/>
          <w:i/>
          <w:iCs/>
          <w:lang w:eastAsia="es-CO"/>
        </w:rPr>
      </w:pPr>
      <w:r w:rsidRPr="005F2C03">
        <w:rPr>
          <w:rFonts w:eastAsia="MS Mincho" w:cs="Arial"/>
          <w:bCs/>
          <w:lang w:eastAsia="es-CO"/>
        </w:rPr>
        <w:t xml:space="preserve">Artículo 62, FALTAS GRAVÍSIMAS - FALTAS RELACIONADAS CON LA MORALIDAD PUBLICA, Numeral 1: </w:t>
      </w:r>
      <w:r w:rsidRPr="005F2C03">
        <w:rPr>
          <w:rFonts w:eastAsia="MS Mincho" w:cs="Arial"/>
          <w:bCs/>
          <w:i/>
          <w:iCs/>
          <w:lang w:eastAsia="es-CO"/>
        </w:rPr>
        <w:t>“Dar lugar a que por culpa gravísima se extravíen, pierdan o dañen bienes del Estado o a cargo del mismo, o de empresas o instituciones en que este tenga parte o bienes de particulares cuya administración o custodia se le haya confiado por razón de sus funciones, en cuantía igual o superior a quinientos (500) salarios mínimos legales mensuales”</w:t>
      </w:r>
    </w:p>
    <w:p w14:paraId="5954330D" w14:textId="77777777" w:rsidR="00C4639A" w:rsidRPr="005F2C03" w:rsidRDefault="00C4639A" w:rsidP="00C4639A">
      <w:pPr>
        <w:ind w:left="492"/>
        <w:jc w:val="both"/>
        <w:rPr>
          <w:rFonts w:eastAsia="MS Mincho" w:cs="Arial"/>
          <w:bCs/>
          <w:lang w:eastAsia="es-CO"/>
        </w:rPr>
      </w:pPr>
    </w:p>
    <w:p w14:paraId="0E377223" w14:textId="77777777" w:rsidR="00C4639A" w:rsidRPr="005F2C03" w:rsidRDefault="00C4639A" w:rsidP="00C4639A">
      <w:pPr>
        <w:jc w:val="both"/>
        <w:rPr>
          <w:rFonts w:cs="Arial"/>
          <w:bCs/>
        </w:rPr>
      </w:pPr>
      <w:r w:rsidRPr="005F2C03">
        <w:rPr>
          <w:rFonts w:cs="Arial"/>
          <w:bCs/>
        </w:rPr>
        <w:t>Por otra parte, existen normas especiales que regulan la contratación de determinados seguros:</w:t>
      </w:r>
    </w:p>
    <w:p w14:paraId="00225839" w14:textId="77777777" w:rsidR="00C4639A" w:rsidRPr="005F2C03" w:rsidRDefault="00C4639A" w:rsidP="00C4639A">
      <w:pPr>
        <w:jc w:val="both"/>
        <w:rPr>
          <w:rFonts w:eastAsia="Arial" w:cs="Arial"/>
          <w:i/>
        </w:rPr>
      </w:pPr>
    </w:p>
    <w:p w14:paraId="409F3C54" w14:textId="77777777" w:rsidR="00C4639A" w:rsidRPr="005F2C03" w:rsidRDefault="00C4639A">
      <w:pPr>
        <w:numPr>
          <w:ilvl w:val="0"/>
          <w:numId w:val="19"/>
        </w:numPr>
        <w:shd w:val="clear" w:color="auto" w:fill="FFFFFF"/>
        <w:tabs>
          <w:tab w:val="left" w:pos="-142"/>
        </w:tabs>
        <w:suppressAutoHyphens/>
        <w:autoSpaceDN w:val="0"/>
        <w:ind w:left="567" w:hanging="283"/>
        <w:contextualSpacing/>
        <w:jc w:val="both"/>
        <w:rPr>
          <w:rFonts w:cs="Arial"/>
          <w:bCs/>
          <w:i/>
          <w:lang w:eastAsia="es-CO"/>
        </w:rPr>
      </w:pPr>
      <w:r w:rsidRPr="005F2C03">
        <w:rPr>
          <w:rFonts w:cs="Arial"/>
          <w:bCs/>
        </w:rPr>
        <w:t>Manejo Global. Amparar a l</w:t>
      </w:r>
      <w:r w:rsidRPr="005F2C03">
        <w:rPr>
          <w:rFonts w:cs="Arial"/>
          <w:bCs/>
          <w:lang w:eastAsia="es-CO"/>
        </w:rPr>
        <w:t xml:space="preserve">a </w:t>
      </w:r>
      <w:r w:rsidRPr="005F2C03">
        <w:rPr>
          <w:rFonts w:cs="Arial"/>
          <w:iCs/>
          <w:shd w:val="clear" w:color="auto" w:fill="FFFFFF"/>
        </w:rPr>
        <w:t xml:space="preserve">Empresa de Licores de Cundinamarca </w:t>
      </w:r>
      <w:r w:rsidRPr="005F2C03">
        <w:rPr>
          <w:rFonts w:cs="Arial"/>
          <w:bCs/>
        </w:rPr>
        <w:t xml:space="preserve">contra los riesgos que impliquen menoscabo de sus fondos y bienes, causados por los empleados en ejercicio de sus cargos o sus respectivos reemplazos, por actos que se tipifiquen como delitos contra la administración pública o fallos con responsabilidad fiscal, de acuerdo con la Resolución 014249 del 15 de mayo de 1992, de la Contraloría General de la República.   </w:t>
      </w:r>
    </w:p>
    <w:p w14:paraId="37DA3025" w14:textId="77777777" w:rsidR="00C4639A" w:rsidRPr="005F2C03" w:rsidRDefault="00C4639A" w:rsidP="00C4639A">
      <w:pPr>
        <w:shd w:val="clear" w:color="auto" w:fill="FFFFFF"/>
        <w:tabs>
          <w:tab w:val="left" w:pos="-142"/>
        </w:tabs>
        <w:suppressAutoHyphens/>
        <w:ind w:left="567"/>
        <w:contextualSpacing/>
        <w:jc w:val="both"/>
        <w:rPr>
          <w:rFonts w:cs="Arial"/>
          <w:bCs/>
          <w:i/>
          <w:lang w:eastAsia="es-CO"/>
        </w:rPr>
      </w:pPr>
      <w:r w:rsidRPr="005F2C03">
        <w:rPr>
          <w:rFonts w:cs="Arial"/>
          <w:bCs/>
          <w:i/>
          <w:lang w:eastAsia="es-CO"/>
        </w:rPr>
        <w:t xml:space="preserve"> </w:t>
      </w:r>
    </w:p>
    <w:p w14:paraId="4875C432" w14:textId="77777777" w:rsidR="00C4639A" w:rsidRPr="005F2C03" w:rsidRDefault="00C4639A">
      <w:pPr>
        <w:numPr>
          <w:ilvl w:val="0"/>
          <w:numId w:val="20"/>
        </w:numPr>
        <w:tabs>
          <w:tab w:val="left" w:pos="-142"/>
        </w:tabs>
        <w:suppressAutoHyphens/>
        <w:autoSpaceDN w:val="0"/>
        <w:ind w:left="567" w:hanging="283"/>
        <w:contextualSpacing/>
        <w:jc w:val="both"/>
        <w:rPr>
          <w:rFonts w:cs="Arial"/>
          <w:bCs/>
        </w:rPr>
      </w:pPr>
      <w:r w:rsidRPr="005F2C03">
        <w:rPr>
          <w:rFonts w:cs="Arial"/>
          <w:bCs/>
        </w:rPr>
        <w:t xml:space="preserve">Seguro de Responsabilidad Civil Servidores Públicos: La </w:t>
      </w:r>
      <w:r w:rsidRPr="005F2C03">
        <w:rPr>
          <w:rFonts w:cs="Arial"/>
          <w:iCs/>
          <w:shd w:val="clear" w:color="auto" w:fill="FFFFFF"/>
        </w:rPr>
        <w:t xml:space="preserve">Empresa de Licores de Cundinamarca </w:t>
      </w:r>
      <w:r w:rsidRPr="005F2C03">
        <w:rPr>
          <w:rFonts w:cs="Arial"/>
          <w:bCs/>
        </w:rPr>
        <w:t>consideró lo previsto en el artículo 43 de la Ley 2342 de 2023, tercer inciso dispone:</w:t>
      </w:r>
    </w:p>
    <w:p w14:paraId="68F49A50" w14:textId="77777777" w:rsidR="00C4639A" w:rsidRPr="005F2C03" w:rsidRDefault="00C4639A" w:rsidP="00C4639A">
      <w:pPr>
        <w:tabs>
          <w:tab w:val="left" w:pos="-142"/>
        </w:tabs>
        <w:suppressAutoHyphens/>
        <w:ind w:left="567"/>
        <w:contextualSpacing/>
        <w:jc w:val="both"/>
        <w:rPr>
          <w:rFonts w:cs="Arial"/>
          <w:bCs/>
        </w:rPr>
      </w:pPr>
    </w:p>
    <w:p w14:paraId="0AD0DB56" w14:textId="77777777" w:rsidR="00C4639A" w:rsidRPr="005F2C03" w:rsidRDefault="00C4639A" w:rsidP="00C4639A">
      <w:pPr>
        <w:tabs>
          <w:tab w:val="left" w:pos="-142"/>
        </w:tabs>
        <w:suppressAutoHyphens/>
        <w:ind w:left="709"/>
        <w:contextualSpacing/>
        <w:jc w:val="both"/>
        <w:rPr>
          <w:rFonts w:cs="Arial"/>
          <w:bCs/>
          <w:i/>
          <w:iCs/>
        </w:rPr>
      </w:pPr>
      <w:r w:rsidRPr="005F2C03">
        <w:rPr>
          <w:rFonts w:cs="Arial"/>
          <w:bCs/>
        </w:rPr>
        <w:t>“(…)</w:t>
      </w:r>
      <w:r w:rsidRPr="005F2C03">
        <w:rPr>
          <w:rFonts w:cs="Arial"/>
          <w:bCs/>
          <w:i/>
          <w:iCs/>
        </w:rPr>
        <w:t>También podrán contratar un seguro de responsabilidad civil para servidores públicos, mediante    el cual se ampare la responsabilidad de los mismos por actos o hechos no dolosos ocurridos en ejercicio de sus funciones, y los gastos de defensa en materia disciplinaria, penal y fiscal que deban realizar; estos últimos gastos los podrán pagar las entidades, siempre y cuando exista decisión definitiva que exonere de toda responsabilidad y no sea condenada la contraparte a las costas del proceso.(…)”</w:t>
      </w:r>
    </w:p>
    <w:p w14:paraId="097B37C8" w14:textId="77777777" w:rsidR="00C4639A" w:rsidRPr="005F2C03" w:rsidRDefault="00C4639A" w:rsidP="00C4639A">
      <w:pPr>
        <w:suppressAutoHyphens/>
        <w:ind w:left="567"/>
        <w:contextualSpacing/>
        <w:jc w:val="both"/>
        <w:rPr>
          <w:rFonts w:cs="Arial"/>
          <w:bCs/>
        </w:rPr>
      </w:pPr>
    </w:p>
    <w:p w14:paraId="57179659" w14:textId="77777777" w:rsidR="00C4639A" w:rsidRPr="005F2C03" w:rsidRDefault="00C4639A" w:rsidP="00C4639A">
      <w:pPr>
        <w:jc w:val="both"/>
        <w:rPr>
          <w:rFonts w:cs="Arial"/>
        </w:rPr>
      </w:pPr>
      <w:r w:rsidRPr="005F2C03">
        <w:rPr>
          <w:rFonts w:cs="Arial"/>
          <w:bCs/>
          <w:lang w:val="es-MX"/>
        </w:rPr>
        <w:t xml:space="preserve">Bajo este entendido </w:t>
      </w:r>
      <w:r w:rsidRPr="005F2C03">
        <w:rPr>
          <w:rFonts w:cs="Arial"/>
        </w:rPr>
        <w:t xml:space="preserve">y en cumplimiento de la normatividad citada, </w:t>
      </w:r>
      <w:r w:rsidRPr="005F2C03">
        <w:rPr>
          <w:rFonts w:cs="Arial"/>
          <w:iCs/>
          <w:shd w:val="clear" w:color="auto" w:fill="FFFFFF"/>
        </w:rPr>
        <w:t xml:space="preserve">la Empresa de Licores de Cundinamarca tiene </w:t>
      </w:r>
      <w:r w:rsidRPr="005F2C03">
        <w:rPr>
          <w:rFonts w:cs="Arial"/>
        </w:rPr>
        <w:t xml:space="preserve">la necesidad de contar los seguros que amparen los bienes e intereses de la Entidad, </w:t>
      </w:r>
      <w:r w:rsidRPr="005F2C03">
        <w:rPr>
          <w:rFonts w:cs="Arial"/>
          <w:bCs/>
        </w:rPr>
        <w:t>teniendo en cuenta que estos se encuentran expuestos a una gran cantidad</w:t>
      </w:r>
      <w:r w:rsidRPr="005F2C03">
        <w:rPr>
          <w:rFonts w:cs="Arial"/>
        </w:rPr>
        <w:t xml:space="preserve"> de riesgos, que, en el evento de realizarse, producirían un detrimento al patrimonio de la Entidad.</w:t>
      </w:r>
    </w:p>
    <w:p w14:paraId="3EEFB1FE" w14:textId="77777777" w:rsidR="00C4639A" w:rsidRPr="005F2C03" w:rsidRDefault="00C4639A" w:rsidP="00C4639A">
      <w:pPr>
        <w:jc w:val="both"/>
        <w:rPr>
          <w:rFonts w:cs="Arial"/>
        </w:rPr>
      </w:pPr>
    </w:p>
    <w:p w14:paraId="0C8C3910" w14:textId="77777777" w:rsidR="00C4639A" w:rsidRPr="005F2C03" w:rsidRDefault="00C4639A" w:rsidP="00C4639A">
      <w:pPr>
        <w:pStyle w:val="NormalWeb"/>
        <w:shd w:val="clear" w:color="auto" w:fill="FFFFFF"/>
        <w:jc w:val="both"/>
        <w:rPr>
          <w:rFonts w:ascii="Arial Narrow" w:eastAsia="Arial Unicode MS" w:hAnsi="Arial Narrow" w:cs="Arial"/>
          <w:szCs w:val="22"/>
        </w:rPr>
      </w:pPr>
      <w:r w:rsidRPr="005F2C03">
        <w:rPr>
          <w:rFonts w:ascii="Arial Narrow" w:eastAsia="Arial Unicode MS" w:hAnsi="Arial Narrow" w:cs="Arial"/>
          <w:szCs w:val="22"/>
        </w:rPr>
        <w:lastRenderedPageBreak/>
        <w:t xml:space="preserve">Así las cosas, se precisa que </w:t>
      </w:r>
      <w:r w:rsidRPr="005F2C03">
        <w:rPr>
          <w:rFonts w:ascii="Arial Narrow" w:hAnsi="Arial Narrow" w:cs="Arial"/>
          <w:szCs w:val="22"/>
          <w:shd w:val="clear" w:color="auto" w:fill="FFFFFF"/>
        </w:rPr>
        <w:t>la Empresa de Licores de Cundinamarca</w:t>
      </w:r>
      <w:r w:rsidRPr="005F2C03">
        <w:rPr>
          <w:rFonts w:ascii="Arial Narrow" w:eastAsia="Arial Unicode MS" w:hAnsi="Arial Narrow" w:cs="Arial"/>
          <w:bCs/>
          <w:szCs w:val="22"/>
        </w:rPr>
        <w:t>,</w:t>
      </w:r>
      <w:r w:rsidRPr="005F2C03">
        <w:rPr>
          <w:rFonts w:ascii="Arial Narrow" w:eastAsia="Arial Unicode MS" w:hAnsi="Arial Narrow" w:cs="Arial"/>
          <w:b/>
          <w:szCs w:val="22"/>
        </w:rPr>
        <w:t xml:space="preserve"> </w:t>
      </w:r>
      <w:r w:rsidRPr="005F2C03">
        <w:rPr>
          <w:rFonts w:ascii="Arial Narrow" w:eastAsia="Arial Unicode MS" w:hAnsi="Arial Narrow" w:cs="Arial"/>
          <w:szCs w:val="22"/>
        </w:rPr>
        <w:t>contrató los seguros que se relacionan a continuación y cuyo vencimiento es a las 00:00 horas del 09 de julio de 2024:</w:t>
      </w:r>
    </w:p>
    <w:tbl>
      <w:tblPr>
        <w:tblW w:w="2119"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41"/>
      </w:tblGrid>
      <w:tr w:rsidR="00C4639A" w:rsidRPr="005F2C03" w14:paraId="3B6450C1" w14:textId="77777777" w:rsidTr="00C4639A">
        <w:trPr>
          <w:trHeight w:val="283"/>
          <w:tblHeader/>
          <w:jc w:val="center"/>
        </w:trPr>
        <w:tc>
          <w:tcPr>
            <w:tcW w:w="5000" w:type="pct"/>
            <w:tcBorders>
              <w:top w:val="single" w:sz="4" w:space="0" w:color="BFBFBF"/>
              <w:left w:val="single" w:sz="4" w:space="0" w:color="BFBFBF"/>
              <w:bottom w:val="single" w:sz="4" w:space="0" w:color="BFBFBF"/>
              <w:right w:val="single" w:sz="4" w:space="0" w:color="BFBFBF"/>
            </w:tcBorders>
            <w:shd w:val="clear" w:color="auto" w:fill="B4C6E7"/>
            <w:vAlign w:val="center"/>
            <w:hideMark/>
          </w:tcPr>
          <w:p w14:paraId="432346EA" w14:textId="77777777" w:rsidR="00C4639A" w:rsidRPr="005F2C03" w:rsidRDefault="00C4639A" w:rsidP="00C4639A">
            <w:pPr>
              <w:jc w:val="center"/>
              <w:rPr>
                <w:rFonts w:cs="Arial"/>
                <w:b/>
              </w:rPr>
            </w:pPr>
            <w:r w:rsidRPr="005F2C03">
              <w:rPr>
                <w:rFonts w:cs="Arial"/>
                <w:b/>
              </w:rPr>
              <w:t>SEGURO DE</w:t>
            </w:r>
          </w:p>
        </w:tc>
      </w:tr>
      <w:tr w:rsidR="00C4639A" w:rsidRPr="005F2C03" w14:paraId="0E68D811"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127ADC79" w14:textId="77777777" w:rsidR="00C4639A" w:rsidRPr="005F2C03" w:rsidRDefault="00C4639A" w:rsidP="00C4639A">
            <w:pPr>
              <w:ind w:hanging="2"/>
              <w:rPr>
                <w:rFonts w:cs="Arial"/>
                <w:bCs/>
                <w:lang w:eastAsia="es-CO"/>
              </w:rPr>
            </w:pPr>
            <w:r w:rsidRPr="005F2C03">
              <w:rPr>
                <w:rFonts w:cs="Arial"/>
                <w:bCs/>
                <w:lang w:eastAsia="es-CO"/>
              </w:rPr>
              <w:t>Todo riesgo daños materiales</w:t>
            </w:r>
          </w:p>
        </w:tc>
      </w:tr>
      <w:tr w:rsidR="00C4639A" w:rsidRPr="005F2C03" w14:paraId="10C54B02"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6735A9F0" w14:textId="77777777" w:rsidR="00C4639A" w:rsidRPr="005F2C03" w:rsidRDefault="00C4639A" w:rsidP="00C4639A">
            <w:pPr>
              <w:ind w:hanging="2"/>
              <w:rPr>
                <w:rFonts w:cs="Arial"/>
                <w:bCs/>
                <w:lang w:eastAsia="es-CO"/>
              </w:rPr>
            </w:pPr>
            <w:r w:rsidRPr="005F2C03">
              <w:rPr>
                <w:rFonts w:cs="Arial"/>
                <w:bCs/>
                <w:lang w:eastAsia="es-CO"/>
              </w:rPr>
              <w:t>Todo riesgo equipo y maquinaria</w:t>
            </w:r>
          </w:p>
        </w:tc>
      </w:tr>
      <w:tr w:rsidR="00C4639A" w:rsidRPr="005F2C03" w14:paraId="28CBF4C2"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7BDB5800" w14:textId="77777777" w:rsidR="00C4639A" w:rsidRPr="005F2C03" w:rsidRDefault="00C4639A" w:rsidP="00C4639A">
            <w:pPr>
              <w:ind w:hanging="2"/>
              <w:rPr>
                <w:rFonts w:cs="Arial"/>
                <w:bCs/>
                <w:lang w:eastAsia="es-CO"/>
              </w:rPr>
            </w:pPr>
            <w:r w:rsidRPr="005F2C03">
              <w:rPr>
                <w:rFonts w:cs="Arial"/>
                <w:bCs/>
                <w:lang w:eastAsia="es-CO"/>
              </w:rPr>
              <w:t>Manejo global entidades estatales</w:t>
            </w:r>
          </w:p>
        </w:tc>
      </w:tr>
      <w:tr w:rsidR="00C4639A" w:rsidRPr="005F2C03" w14:paraId="5660AA9A"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33797A96" w14:textId="77777777" w:rsidR="00C4639A" w:rsidRPr="005F2C03" w:rsidRDefault="00C4639A" w:rsidP="00C4639A">
            <w:pPr>
              <w:ind w:hanging="2"/>
              <w:rPr>
                <w:rFonts w:cs="Arial"/>
                <w:bCs/>
                <w:lang w:eastAsia="es-CO"/>
              </w:rPr>
            </w:pPr>
            <w:r w:rsidRPr="005F2C03">
              <w:rPr>
                <w:rFonts w:cs="Arial"/>
                <w:bCs/>
                <w:lang w:eastAsia="es-CO"/>
              </w:rPr>
              <w:t>Responsabilidad civil extracontractual</w:t>
            </w:r>
          </w:p>
        </w:tc>
      </w:tr>
      <w:tr w:rsidR="00C4639A" w:rsidRPr="005F2C03" w14:paraId="529C7A61"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557DB52E" w14:textId="77777777" w:rsidR="00C4639A" w:rsidRPr="005F2C03" w:rsidRDefault="00C4639A" w:rsidP="00C4639A">
            <w:pPr>
              <w:ind w:hanging="2"/>
              <w:rPr>
                <w:rFonts w:cs="Arial"/>
                <w:bCs/>
                <w:lang w:eastAsia="es-CO"/>
              </w:rPr>
            </w:pPr>
            <w:r w:rsidRPr="005F2C03">
              <w:rPr>
                <w:rFonts w:cs="Arial"/>
                <w:bCs/>
                <w:lang w:eastAsia="es-CO"/>
              </w:rPr>
              <w:t xml:space="preserve">Automóviles </w:t>
            </w:r>
          </w:p>
        </w:tc>
      </w:tr>
      <w:tr w:rsidR="00C4639A" w:rsidRPr="005F2C03" w14:paraId="6F18411F"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580FBED1" w14:textId="77777777" w:rsidR="00C4639A" w:rsidRPr="005F2C03" w:rsidRDefault="00C4639A" w:rsidP="00C4639A">
            <w:pPr>
              <w:ind w:hanging="2"/>
              <w:rPr>
                <w:rFonts w:cs="Arial"/>
                <w:bCs/>
                <w:lang w:eastAsia="es-CO"/>
              </w:rPr>
            </w:pPr>
            <w:r w:rsidRPr="005F2C03">
              <w:rPr>
                <w:rFonts w:cs="Arial"/>
                <w:bCs/>
                <w:lang w:eastAsia="es-CO"/>
              </w:rPr>
              <w:t>Transporte de mercancías</w:t>
            </w:r>
          </w:p>
        </w:tc>
      </w:tr>
      <w:tr w:rsidR="00C4639A" w:rsidRPr="005F2C03" w14:paraId="30301F6D"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tcPr>
          <w:p w14:paraId="1087435E" w14:textId="77777777" w:rsidR="00C4639A" w:rsidRPr="005F2C03" w:rsidRDefault="00C4639A" w:rsidP="00C4639A">
            <w:pPr>
              <w:ind w:hanging="2"/>
              <w:rPr>
                <w:rFonts w:cs="Arial"/>
                <w:bCs/>
                <w:lang w:eastAsia="es-CO"/>
              </w:rPr>
            </w:pPr>
            <w:r w:rsidRPr="005F2C03">
              <w:rPr>
                <w:rFonts w:cs="Arial"/>
                <w:bCs/>
                <w:lang w:eastAsia="es-CO"/>
              </w:rPr>
              <w:t>Responsabilidad civil servidores públicos</w:t>
            </w:r>
          </w:p>
        </w:tc>
      </w:tr>
      <w:tr w:rsidR="00C4639A" w:rsidRPr="005F2C03" w14:paraId="46ADAC40"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41326DDE" w14:textId="77777777" w:rsidR="00C4639A" w:rsidRPr="005F2C03" w:rsidRDefault="00C4639A" w:rsidP="00C4639A">
            <w:pPr>
              <w:ind w:hanging="2"/>
              <w:rPr>
                <w:rFonts w:cs="Arial"/>
                <w:bCs/>
                <w:lang w:eastAsia="es-CO"/>
              </w:rPr>
            </w:pPr>
            <w:r w:rsidRPr="005F2C03">
              <w:rPr>
                <w:rFonts w:cs="Arial"/>
                <w:bCs/>
                <w:lang w:eastAsia="es-CO"/>
              </w:rPr>
              <w:t>Infidelidad y riesgos financieros</w:t>
            </w:r>
          </w:p>
        </w:tc>
      </w:tr>
      <w:tr w:rsidR="00C4639A" w:rsidRPr="005F2C03" w14:paraId="4EB1DB6B"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hideMark/>
          </w:tcPr>
          <w:p w14:paraId="0FB5DB7C" w14:textId="77777777" w:rsidR="00C4639A" w:rsidRPr="005F2C03" w:rsidRDefault="00C4639A" w:rsidP="00C4639A">
            <w:pPr>
              <w:ind w:hanging="2"/>
              <w:rPr>
                <w:rFonts w:cs="Arial"/>
                <w:bCs/>
                <w:lang w:eastAsia="es-CO"/>
              </w:rPr>
            </w:pPr>
            <w:r w:rsidRPr="005F2C03">
              <w:rPr>
                <w:rFonts w:cs="Arial"/>
                <w:bCs/>
                <w:lang w:eastAsia="es-CO"/>
              </w:rPr>
              <w:t>Vida grupo funcionarios integral (</w:t>
            </w:r>
            <w:proofErr w:type="spellStart"/>
            <w:r w:rsidRPr="005F2C03">
              <w:rPr>
                <w:rFonts w:cs="Arial"/>
                <w:bCs/>
                <w:lang w:eastAsia="es-CO"/>
              </w:rPr>
              <w:t>Sinaltralic</w:t>
            </w:r>
            <w:proofErr w:type="spellEnd"/>
            <w:r w:rsidRPr="005F2C03">
              <w:rPr>
                <w:rFonts w:cs="Arial"/>
                <w:bCs/>
                <w:lang w:eastAsia="es-CO"/>
              </w:rPr>
              <w:t>)</w:t>
            </w:r>
          </w:p>
        </w:tc>
      </w:tr>
      <w:tr w:rsidR="00C4639A" w:rsidRPr="005F2C03" w14:paraId="3CDC3566"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tcPr>
          <w:p w14:paraId="183B7AA1" w14:textId="77777777" w:rsidR="00C4639A" w:rsidRPr="005F2C03" w:rsidRDefault="00C4639A" w:rsidP="00C4639A">
            <w:pPr>
              <w:ind w:hanging="2"/>
              <w:rPr>
                <w:rFonts w:cs="Arial"/>
                <w:bCs/>
                <w:lang w:eastAsia="es-CO"/>
              </w:rPr>
            </w:pPr>
            <w:r w:rsidRPr="005F2C03">
              <w:rPr>
                <w:rFonts w:cs="Arial"/>
                <w:bCs/>
                <w:lang w:eastAsia="es-CO"/>
              </w:rPr>
              <w:t>Vida grupo funcionarios (</w:t>
            </w:r>
            <w:proofErr w:type="spellStart"/>
            <w:r w:rsidRPr="005F2C03">
              <w:rPr>
                <w:rFonts w:cs="Arial"/>
                <w:bCs/>
                <w:lang w:eastAsia="es-CO"/>
              </w:rPr>
              <w:t>Sintroelicun</w:t>
            </w:r>
            <w:proofErr w:type="spellEnd"/>
            <w:r w:rsidRPr="005F2C03">
              <w:rPr>
                <w:rFonts w:cs="Arial"/>
                <w:bCs/>
                <w:lang w:eastAsia="es-CO"/>
              </w:rPr>
              <w:t>)</w:t>
            </w:r>
          </w:p>
        </w:tc>
      </w:tr>
      <w:tr w:rsidR="00C4639A" w:rsidRPr="005F2C03" w14:paraId="1B22FC5E" w14:textId="77777777" w:rsidTr="00C4639A">
        <w:trPr>
          <w:trHeight w:val="283"/>
          <w:jc w:val="center"/>
        </w:trPr>
        <w:tc>
          <w:tcPr>
            <w:tcW w:w="5000" w:type="pct"/>
            <w:tcBorders>
              <w:top w:val="single" w:sz="4" w:space="0" w:color="BFBFBF"/>
              <w:left w:val="single" w:sz="4" w:space="0" w:color="BFBFBF"/>
              <w:bottom w:val="single" w:sz="4" w:space="0" w:color="BFBFBF"/>
              <w:right w:val="single" w:sz="4" w:space="0" w:color="BFBFBF"/>
            </w:tcBorders>
            <w:vAlign w:val="center"/>
          </w:tcPr>
          <w:p w14:paraId="0A207B33" w14:textId="77777777" w:rsidR="00C4639A" w:rsidRPr="005F2C03" w:rsidRDefault="00C4639A" w:rsidP="00C4639A">
            <w:pPr>
              <w:ind w:hanging="2"/>
              <w:rPr>
                <w:rFonts w:cs="Arial"/>
                <w:bCs/>
                <w:lang w:eastAsia="es-CO"/>
              </w:rPr>
            </w:pPr>
            <w:r w:rsidRPr="005F2C03">
              <w:rPr>
                <w:rFonts w:cs="Arial"/>
                <w:bCs/>
                <w:lang w:eastAsia="es-CO"/>
              </w:rPr>
              <w:t>Seguro Obligatorio por Accidentes de Tránsito - SOAT</w:t>
            </w:r>
          </w:p>
        </w:tc>
      </w:tr>
    </w:tbl>
    <w:p w14:paraId="14310D30" w14:textId="77777777" w:rsidR="00C4639A" w:rsidRPr="005F2C03" w:rsidRDefault="00C4639A" w:rsidP="00C4639A">
      <w:pPr>
        <w:pStyle w:val="NormalWeb"/>
        <w:shd w:val="clear" w:color="auto" w:fill="FFFFFF"/>
        <w:jc w:val="both"/>
        <w:rPr>
          <w:rFonts w:ascii="Arial Narrow" w:eastAsia="Arial Unicode MS" w:hAnsi="Arial Narrow" w:cs="Arial"/>
          <w:szCs w:val="22"/>
        </w:rPr>
      </w:pPr>
      <w:r w:rsidRPr="005F2C03">
        <w:rPr>
          <w:rFonts w:ascii="Arial Narrow" w:eastAsia="Arial Unicode MS" w:hAnsi="Arial Narrow" w:cs="Arial"/>
          <w:szCs w:val="22"/>
        </w:rPr>
        <w:t xml:space="preserve">Por tal razón, se hace indispensable la celebración de un contrato de seguros, que permita satisfacer la necesidad requerida por </w:t>
      </w:r>
      <w:r w:rsidRPr="005F2C03">
        <w:rPr>
          <w:rFonts w:ascii="Arial Narrow" w:eastAsia="Arial Unicode MS" w:hAnsi="Arial Narrow" w:cs="Arial"/>
          <w:bCs/>
          <w:szCs w:val="22"/>
        </w:rPr>
        <w:t>l</w:t>
      </w:r>
      <w:r w:rsidRPr="005F2C03">
        <w:rPr>
          <w:rFonts w:ascii="Arial Narrow" w:eastAsia="Arial Unicode MS" w:hAnsi="Arial Narrow" w:cs="Arial"/>
          <w:szCs w:val="22"/>
        </w:rPr>
        <w:t>a Empresa de Licores de Cundinamarca.</w:t>
      </w:r>
    </w:p>
    <w:p w14:paraId="2B26F71E" w14:textId="77777777" w:rsidR="00C4639A" w:rsidRPr="005F2C03" w:rsidRDefault="00C4639A" w:rsidP="00C4639A">
      <w:pPr>
        <w:pStyle w:val="Default"/>
        <w:jc w:val="both"/>
        <w:rPr>
          <w:szCs w:val="22"/>
        </w:rPr>
      </w:pPr>
      <w:r w:rsidRPr="005F2C03">
        <w:rPr>
          <w:szCs w:val="22"/>
        </w:rPr>
        <w:t xml:space="preserve">Considerando lo anterior, se establece que la necesidad que pretende satisfacer la </w:t>
      </w:r>
      <w:r w:rsidRPr="005F2C03">
        <w:rPr>
          <w:rFonts w:eastAsia="Arial Unicode MS"/>
          <w:szCs w:val="22"/>
        </w:rPr>
        <w:t>Empresa de Licores de Cundinamarca</w:t>
      </w:r>
      <w:r w:rsidRPr="005F2C03">
        <w:rPr>
          <w:szCs w:val="22"/>
        </w:rPr>
        <w:t xml:space="preserve"> es la de amparar sus bienes e intereses patrimoniales contra la mayor cantidad de riesgos a los cuales se encuentran expuestos, a través de la celebración de contratos de seguros. </w:t>
      </w:r>
    </w:p>
    <w:p w14:paraId="10E31038" w14:textId="77777777" w:rsidR="00C4639A" w:rsidRPr="005F2C03" w:rsidRDefault="00C4639A" w:rsidP="00C4639A">
      <w:pPr>
        <w:jc w:val="both"/>
        <w:rPr>
          <w:rFonts w:cs="Arial"/>
        </w:rPr>
      </w:pPr>
    </w:p>
    <w:p w14:paraId="71F1F168" w14:textId="77777777" w:rsidR="00C4639A" w:rsidRPr="005F2C03" w:rsidRDefault="00C4639A" w:rsidP="00C4639A">
      <w:pPr>
        <w:jc w:val="both"/>
        <w:rPr>
          <w:rFonts w:cs="Arial"/>
          <w:bCs/>
        </w:rPr>
      </w:pPr>
      <w:r w:rsidRPr="005F2C03">
        <w:rPr>
          <w:rFonts w:cs="Arial"/>
        </w:rPr>
        <w:t>La descripción de los bienes e intereses que la entidad desea asegurar, así como la identificación de los riesgos que debe cubrir cada una de las pólizas, se encuentran detallados en el Anexo No. 2 Condiciones Técnicas Básicas Obligatorias para cada seguro a contratar.</w:t>
      </w:r>
    </w:p>
    <w:p w14:paraId="4DE1A637" w14:textId="77777777" w:rsidR="00C4639A" w:rsidRPr="005F2C03" w:rsidRDefault="00C4639A" w:rsidP="00C4639A">
      <w:pPr>
        <w:pStyle w:val="NormalWeb"/>
        <w:shd w:val="clear" w:color="auto" w:fill="FFFFFF"/>
        <w:jc w:val="center"/>
        <w:rPr>
          <w:rFonts w:ascii="Arial Narrow" w:eastAsia="Arial Unicode MS" w:hAnsi="Arial Narrow" w:cs="Arial"/>
          <w:b/>
          <w:bCs/>
          <w:i w:val="0"/>
          <w:szCs w:val="22"/>
        </w:rPr>
      </w:pPr>
    </w:p>
    <w:p w14:paraId="2B18998A" w14:textId="77777777" w:rsidR="00C4639A" w:rsidRPr="005F2C03" w:rsidRDefault="00C4639A" w:rsidP="00C4639A">
      <w:pPr>
        <w:pStyle w:val="NormalWeb"/>
        <w:shd w:val="clear" w:color="auto" w:fill="FFFFFF"/>
        <w:jc w:val="center"/>
        <w:rPr>
          <w:rFonts w:ascii="Arial Narrow" w:eastAsia="Arial Unicode MS" w:hAnsi="Arial Narrow" w:cs="Arial"/>
          <w:b/>
          <w:bCs/>
          <w:i w:val="0"/>
          <w:szCs w:val="22"/>
        </w:rPr>
      </w:pPr>
    </w:p>
    <w:p w14:paraId="1592BAEF" w14:textId="77777777" w:rsidR="00C4639A" w:rsidRPr="005F2C03" w:rsidRDefault="00C4639A" w:rsidP="00C4639A">
      <w:pPr>
        <w:pStyle w:val="NormalWeb"/>
        <w:shd w:val="clear" w:color="auto" w:fill="FFFFFF"/>
        <w:jc w:val="center"/>
        <w:rPr>
          <w:rFonts w:ascii="Arial Narrow" w:eastAsia="Arial Unicode MS" w:hAnsi="Arial Narrow" w:cs="Arial"/>
          <w:b/>
          <w:bCs/>
          <w:i w:val="0"/>
          <w:szCs w:val="22"/>
        </w:rPr>
      </w:pPr>
    </w:p>
    <w:p w14:paraId="3C6B5064" w14:textId="77777777" w:rsidR="00C4639A" w:rsidRPr="005F2C03" w:rsidRDefault="00C4639A" w:rsidP="00C4639A">
      <w:pPr>
        <w:pStyle w:val="NormalWeb"/>
        <w:shd w:val="clear" w:color="auto" w:fill="FFFFFF"/>
        <w:jc w:val="center"/>
        <w:rPr>
          <w:rFonts w:ascii="Arial Narrow" w:eastAsia="Arial Unicode MS" w:hAnsi="Arial Narrow" w:cs="Arial"/>
          <w:b/>
          <w:bCs/>
          <w:i w:val="0"/>
          <w:szCs w:val="22"/>
        </w:rPr>
      </w:pPr>
    </w:p>
    <w:p w14:paraId="6EAAC3C9" w14:textId="77777777" w:rsidR="00C4639A" w:rsidRPr="005F2C03" w:rsidRDefault="00C4639A" w:rsidP="00C4639A">
      <w:pPr>
        <w:pStyle w:val="NormalWeb"/>
        <w:shd w:val="clear" w:color="auto" w:fill="FFFFFF"/>
        <w:jc w:val="center"/>
        <w:rPr>
          <w:rFonts w:ascii="Arial Narrow" w:eastAsia="Arial Unicode MS" w:hAnsi="Arial Narrow" w:cs="Arial"/>
          <w:b/>
          <w:bCs/>
          <w:i w:val="0"/>
          <w:szCs w:val="22"/>
        </w:rPr>
      </w:pPr>
    </w:p>
    <w:p w14:paraId="4FA96564" w14:textId="77777777" w:rsidR="00C4639A" w:rsidRPr="005F2C03" w:rsidRDefault="00C4639A" w:rsidP="00C4639A">
      <w:pPr>
        <w:pStyle w:val="NormalWeb"/>
        <w:shd w:val="clear" w:color="auto" w:fill="FFFFFF"/>
        <w:jc w:val="center"/>
        <w:rPr>
          <w:rFonts w:ascii="Arial Narrow" w:eastAsia="Arial Unicode MS" w:hAnsi="Arial Narrow" w:cs="Arial"/>
          <w:b/>
          <w:bCs/>
          <w:i w:val="0"/>
          <w:szCs w:val="22"/>
        </w:rPr>
      </w:pPr>
    </w:p>
    <w:p w14:paraId="4D51C1D8" w14:textId="2825DD59" w:rsidR="00C4639A" w:rsidRPr="005F2C03" w:rsidRDefault="00C4639A" w:rsidP="00C4639A">
      <w:pPr>
        <w:pStyle w:val="NormalWeb"/>
        <w:shd w:val="clear" w:color="auto" w:fill="FFFFFF"/>
        <w:jc w:val="center"/>
        <w:rPr>
          <w:rFonts w:ascii="Arial Narrow" w:eastAsia="Arial Unicode MS" w:hAnsi="Arial Narrow" w:cs="Arial"/>
          <w:b/>
          <w:bCs/>
          <w:i w:val="0"/>
          <w:szCs w:val="22"/>
        </w:rPr>
      </w:pPr>
      <w:bookmarkStart w:id="1" w:name="_Hlk169730108"/>
      <w:r w:rsidRPr="005F2C03">
        <w:rPr>
          <w:rFonts w:ascii="Arial Narrow" w:eastAsia="Arial Unicode MS" w:hAnsi="Arial Narrow" w:cs="Arial"/>
          <w:b/>
          <w:bCs/>
          <w:i w:val="0"/>
          <w:szCs w:val="22"/>
        </w:rPr>
        <w:lastRenderedPageBreak/>
        <w:t>CAPÍTULO I</w:t>
      </w:r>
    </w:p>
    <w:p w14:paraId="40238288" w14:textId="10D6FD8E" w:rsidR="00C4639A" w:rsidRPr="005F2C03" w:rsidRDefault="00C4639A" w:rsidP="00C4639A">
      <w:pPr>
        <w:pStyle w:val="NormalWeb"/>
        <w:shd w:val="clear" w:color="auto" w:fill="FFFFFF"/>
        <w:jc w:val="center"/>
        <w:rPr>
          <w:rFonts w:ascii="Arial Narrow" w:eastAsia="Arial Unicode MS" w:hAnsi="Arial Narrow" w:cs="Arial"/>
          <w:b/>
          <w:bCs/>
          <w:i w:val="0"/>
          <w:szCs w:val="22"/>
        </w:rPr>
      </w:pPr>
      <w:r w:rsidRPr="005F2C03">
        <w:rPr>
          <w:rFonts w:ascii="Arial Narrow" w:eastAsia="Arial Unicode MS" w:hAnsi="Arial Narrow" w:cs="Arial"/>
          <w:b/>
          <w:bCs/>
          <w:i w:val="0"/>
          <w:szCs w:val="22"/>
        </w:rPr>
        <w:t>ASPECTOS GENERALES</w:t>
      </w:r>
    </w:p>
    <w:bookmarkEnd w:id="1"/>
    <w:p w14:paraId="6261DAC2" w14:textId="77777777" w:rsidR="00C4639A" w:rsidRPr="005F2C03" w:rsidRDefault="0053405F" w:rsidP="002C43B5">
      <w:pPr>
        <w:jc w:val="both"/>
        <w:rPr>
          <w:rFonts w:cs="Arial"/>
          <w:b/>
          <w:lang w:val="es-MX" w:eastAsia="ar-SA"/>
        </w:rPr>
      </w:pPr>
      <w:r w:rsidRPr="005F2C03">
        <w:rPr>
          <w:rFonts w:cs="Arial"/>
          <w:b/>
          <w:lang w:val="es-MX" w:eastAsia="ar-SA"/>
        </w:rPr>
        <w:t xml:space="preserve">OBJETO: </w:t>
      </w:r>
    </w:p>
    <w:p w14:paraId="55F0E8CA" w14:textId="77777777" w:rsidR="00C4639A" w:rsidRPr="005F2C03" w:rsidRDefault="00C4639A" w:rsidP="002C43B5">
      <w:pPr>
        <w:jc w:val="both"/>
        <w:rPr>
          <w:rFonts w:cs="Arial"/>
          <w:b/>
          <w:lang w:val="es-MX" w:eastAsia="ar-SA"/>
        </w:rPr>
      </w:pPr>
    </w:p>
    <w:p w14:paraId="2C9D8B5F" w14:textId="26B48CC6" w:rsidR="0053405F" w:rsidRDefault="001A7050" w:rsidP="002C43B5">
      <w:pPr>
        <w:jc w:val="both"/>
        <w:rPr>
          <w:rFonts w:cs="Arial"/>
          <w:bCs/>
          <w:lang w:val="es-ES" w:eastAsia="ar-SA"/>
        </w:rPr>
      </w:pPr>
      <w:r w:rsidRPr="001A7050">
        <w:rPr>
          <w:rFonts w:cs="Arial"/>
          <w:bCs/>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CUALQUIER OTRA PÓLIZA DE SEGUROS QUE REQUIERA LA ENTIDAD EN EL DESARROLLO DE SU ACTIVIDAD.</w:t>
      </w:r>
    </w:p>
    <w:p w14:paraId="13DA7B12" w14:textId="77777777" w:rsidR="001A7050" w:rsidRPr="005F2C03" w:rsidRDefault="001A7050" w:rsidP="002C43B5">
      <w:pPr>
        <w:jc w:val="both"/>
        <w:rPr>
          <w:rFonts w:cs="Arial"/>
          <w:lang w:eastAsia="ar-SA"/>
        </w:rPr>
      </w:pPr>
    </w:p>
    <w:p w14:paraId="32F893EE" w14:textId="77777777" w:rsidR="0053405F" w:rsidRPr="005F2C03" w:rsidRDefault="0053405F" w:rsidP="002C43B5">
      <w:pPr>
        <w:jc w:val="both"/>
        <w:rPr>
          <w:rFonts w:cs="Arial"/>
          <w:lang w:eastAsia="ar-SA"/>
        </w:rPr>
      </w:pPr>
      <w:r w:rsidRPr="005F2C03">
        <w:rPr>
          <w:rFonts w:cs="Arial"/>
          <w:lang w:eastAsia="ar-SA"/>
        </w:rPr>
        <w:t>Respetados Señores:</w:t>
      </w:r>
    </w:p>
    <w:p w14:paraId="691DB7BB" w14:textId="77777777" w:rsidR="00A57109" w:rsidRPr="005F2C03" w:rsidRDefault="00A57109" w:rsidP="002C43B5">
      <w:pPr>
        <w:jc w:val="both"/>
        <w:rPr>
          <w:rFonts w:cs="Arial"/>
          <w:lang w:eastAsia="ar-SA"/>
        </w:rPr>
      </w:pPr>
    </w:p>
    <w:p w14:paraId="054FD1D4" w14:textId="5401EE3F" w:rsidR="0053405F" w:rsidRPr="005F2C03" w:rsidRDefault="0053405F" w:rsidP="002C43B5">
      <w:pPr>
        <w:jc w:val="both"/>
        <w:rPr>
          <w:rFonts w:cs="Arial"/>
          <w:lang w:eastAsia="ar-SA"/>
        </w:rPr>
      </w:pPr>
      <w:r w:rsidRPr="005F2C03">
        <w:rPr>
          <w:rFonts w:cs="Arial"/>
          <w:lang w:eastAsia="ar-SA"/>
        </w:rPr>
        <w:t>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w:t>
      </w:r>
    </w:p>
    <w:p w14:paraId="7E00AB21" w14:textId="77777777" w:rsidR="00AF3596" w:rsidRPr="005F2C03" w:rsidRDefault="00AF3596" w:rsidP="002C43B5">
      <w:pPr>
        <w:jc w:val="both"/>
        <w:rPr>
          <w:rFonts w:cs="Arial"/>
          <w:lang w:eastAsia="ar-SA"/>
        </w:rPr>
      </w:pPr>
    </w:p>
    <w:p w14:paraId="1A23D517" w14:textId="77777777" w:rsidR="00AF3596" w:rsidRPr="005F2C03" w:rsidRDefault="00AF3596" w:rsidP="00AF3596">
      <w:pPr>
        <w:tabs>
          <w:tab w:val="left" w:pos="2282"/>
          <w:tab w:val="center" w:pos="4419"/>
        </w:tabs>
        <w:jc w:val="both"/>
        <w:rPr>
          <w:rFonts w:cs="Arial"/>
          <w:b/>
          <w:bCs/>
          <w:lang w:eastAsia="ar-SA"/>
        </w:rPr>
      </w:pPr>
      <w:r w:rsidRPr="005F2C03">
        <w:rPr>
          <w:rFonts w:cs="Arial"/>
          <w:b/>
          <w:bCs/>
          <w:lang w:eastAsia="ar-SA"/>
        </w:rPr>
        <w:t>PLAZO DE EJECUCIÓN Y VIGENCIA</w:t>
      </w:r>
    </w:p>
    <w:p w14:paraId="6BB2810F" w14:textId="77777777" w:rsidR="00AF3596" w:rsidRPr="005F2C03" w:rsidRDefault="00AF3596" w:rsidP="00AF3596">
      <w:pPr>
        <w:jc w:val="both"/>
        <w:rPr>
          <w:rFonts w:cs="Arial"/>
          <w:lang w:val="es-MX" w:eastAsia="ar-SA"/>
        </w:rPr>
      </w:pPr>
    </w:p>
    <w:p w14:paraId="37FA729B" w14:textId="53901DDF" w:rsidR="00F67B61" w:rsidRDefault="00AF3596" w:rsidP="00AF3596">
      <w:pPr>
        <w:jc w:val="both"/>
        <w:rPr>
          <w:rFonts w:cs="Arial"/>
          <w:lang w:val="es-MX" w:eastAsia="ar-SA"/>
        </w:rPr>
      </w:pPr>
      <w:r w:rsidRPr="005F2C03">
        <w:rPr>
          <w:rFonts w:cs="Arial"/>
          <w:lang w:val="es-MX" w:eastAsia="ar-SA"/>
        </w:rPr>
        <w:t xml:space="preserve">El plazo de ejecución del contrato de seguros corresponderá a la vigencia técnica de las pólizas, es decir, </w:t>
      </w:r>
      <w:r w:rsidRPr="005F2C03">
        <w:rPr>
          <w:rFonts w:cs="Arial"/>
          <w:b/>
          <w:bCs/>
          <w:lang w:val="es-MX" w:eastAsia="ar-SA"/>
        </w:rPr>
        <w:t xml:space="preserve">TRESCIENTOS </w:t>
      </w:r>
      <w:r w:rsidR="00851D22">
        <w:rPr>
          <w:rFonts w:cs="Arial"/>
          <w:b/>
          <w:bCs/>
          <w:lang w:val="es-MX" w:eastAsia="ar-SA"/>
        </w:rPr>
        <w:t>CUATRO</w:t>
      </w:r>
      <w:r w:rsidRPr="005F2C03">
        <w:rPr>
          <w:rFonts w:cs="Arial"/>
          <w:b/>
          <w:bCs/>
          <w:lang w:val="es-MX" w:eastAsia="ar-SA"/>
        </w:rPr>
        <w:t xml:space="preserve"> (3</w:t>
      </w:r>
      <w:r w:rsidR="00851D22">
        <w:rPr>
          <w:rFonts w:cs="Arial"/>
          <w:b/>
          <w:bCs/>
          <w:lang w:val="es-MX" w:eastAsia="ar-SA"/>
        </w:rPr>
        <w:t>04</w:t>
      </w:r>
      <w:r w:rsidRPr="005F2C03">
        <w:rPr>
          <w:rFonts w:cs="Arial"/>
          <w:b/>
          <w:bCs/>
          <w:lang w:val="es-MX" w:eastAsia="ar-SA"/>
        </w:rPr>
        <w:t>) DÍAS</w:t>
      </w:r>
      <w:r w:rsidRPr="005F2C03">
        <w:rPr>
          <w:rFonts w:cs="Arial"/>
          <w:lang w:val="es-MX" w:eastAsia="ar-SA"/>
        </w:rPr>
        <w:t xml:space="preserve"> </w:t>
      </w:r>
      <w:r w:rsidR="00EE5F1F" w:rsidRPr="005F2C03">
        <w:rPr>
          <w:rFonts w:cs="Arial"/>
          <w:lang w:val="es-MX" w:eastAsia="ar-SA"/>
        </w:rPr>
        <w:t>contados a partir de las 00:00 horas del 09 de julio de 2024</w:t>
      </w:r>
      <w:r w:rsidR="00EE5F1F">
        <w:rPr>
          <w:rFonts w:cs="Arial"/>
          <w:lang w:val="es-MX" w:eastAsia="ar-SA"/>
        </w:rPr>
        <w:t xml:space="preserve"> y hasta las </w:t>
      </w:r>
      <w:r w:rsidR="00EE5F1F" w:rsidRPr="005F2C03">
        <w:rPr>
          <w:rFonts w:cs="Arial"/>
          <w:lang w:val="es-MX" w:eastAsia="ar-SA"/>
        </w:rPr>
        <w:t xml:space="preserve">00:00 horas del </w:t>
      </w:r>
      <w:r w:rsidR="00EE5F1F">
        <w:rPr>
          <w:rFonts w:cs="Arial"/>
          <w:lang w:val="es-MX" w:eastAsia="ar-SA"/>
        </w:rPr>
        <w:t>09 de mayo de 2025</w:t>
      </w:r>
      <w:r w:rsidR="008D78F6">
        <w:rPr>
          <w:rFonts w:cs="Arial"/>
          <w:lang w:val="es-MX" w:eastAsia="ar-SA"/>
        </w:rPr>
        <w:t xml:space="preserve">, a excepción de los seguros SOAT cuya vigencia será de </w:t>
      </w:r>
      <w:r w:rsidR="008D78F6" w:rsidRPr="00E86B7E">
        <w:rPr>
          <w:rFonts w:cs="Arial"/>
          <w:b/>
          <w:bCs/>
          <w:lang w:val="es-MX" w:eastAsia="ar-SA"/>
        </w:rPr>
        <w:t>TRESCIENTOS SESENTA Y CINCO (365) DÍAS</w:t>
      </w:r>
      <w:r w:rsidR="00E86B7E">
        <w:rPr>
          <w:rFonts w:cs="Arial"/>
          <w:lang w:val="es-MX" w:eastAsia="ar-SA"/>
        </w:rPr>
        <w:t xml:space="preserve"> contados a partir de la fecha de vencimiento de cada una de las pólizas.</w:t>
      </w:r>
    </w:p>
    <w:p w14:paraId="39ED89BC" w14:textId="77777777" w:rsidR="00F67B61" w:rsidRDefault="00F67B61" w:rsidP="00AF3596">
      <w:pPr>
        <w:jc w:val="both"/>
        <w:rPr>
          <w:rFonts w:cs="Arial"/>
          <w:lang w:val="es-MX" w:eastAsia="ar-SA"/>
        </w:rPr>
      </w:pPr>
    </w:p>
    <w:p w14:paraId="09646969" w14:textId="77777777" w:rsidR="00C4639A" w:rsidRPr="005F2C03" w:rsidRDefault="0053405F" w:rsidP="002C43B5">
      <w:pPr>
        <w:jc w:val="both"/>
        <w:rPr>
          <w:rFonts w:cs="Arial"/>
          <w:b/>
          <w:lang w:eastAsia="ar-SA"/>
        </w:rPr>
      </w:pPr>
      <w:r w:rsidRPr="005F2C03">
        <w:rPr>
          <w:rFonts w:cs="Arial"/>
          <w:b/>
          <w:lang w:eastAsia="ar-SA"/>
        </w:rPr>
        <w:t xml:space="preserve">PRESUPUESTO OFICIAL: </w:t>
      </w:r>
    </w:p>
    <w:p w14:paraId="0448D535" w14:textId="77777777" w:rsidR="00C4639A" w:rsidRPr="005F2C03" w:rsidRDefault="00C4639A" w:rsidP="002C43B5">
      <w:pPr>
        <w:jc w:val="both"/>
        <w:rPr>
          <w:rFonts w:cs="Arial"/>
          <w:b/>
          <w:lang w:eastAsia="ar-SA"/>
        </w:rPr>
      </w:pPr>
    </w:p>
    <w:p w14:paraId="7EACD07B" w14:textId="7E95B7D7" w:rsidR="00841316" w:rsidRPr="005F2C03" w:rsidRDefault="00841316" w:rsidP="002C43B5">
      <w:pPr>
        <w:jc w:val="both"/>
        <w:rPr>
          <w:rFonts w:cs="Arial"/>
          <w:lang w:eastAsia="ar-SA"/>
        </w:rPr>
      </w:pPr>
      <w:r w:rsidRPr="005F2C03">
        <w:rPr>
          <w:rFonts w:cs="Arial"/>
          <w:lang w:eastAsia="ar-SA"/>
        </w:rPr>
        <w:t>El valor estimado para el presente proceso de contratación es hasta por la suma de</w:t>
      </w:r>
      <w:r w:rsidR="00411F24" w:rsidRPr="005F2C03">
        <w:rPr>
          <w:rFonts w:cs="Arial"/>
          <w:lang w:eastAsia="ar-SA"/>
        </w:rPr>
        <w:t xml:space="preserve"> </w:t>
      </w:r>
      <w:r w:rsidR="00743428">
        <w:rPr>
          <w:rFonts w:cs="Arial"/>
          <w:b/>
          <w:bCs/>
          <w:lang w:eastAsia="ar-SA"/>
        </w:rPr>
        <w:t xml:space="preserve">MIL CUATROCIENTOS TREINTA MILLONES </w:t>
      </w:r>
      <w:r w:rsidR="004065B3">
        <w:rPr>
          <w:rFonts w:cs="Arial"/>
          <w:b/>
          <w:bCs/>
          <w:lang w:eastAsia="ar-SA"/>
        </w:rPr>
        <w:t>TRESCIENTOS CUARENTA Y CUATRO MIL SEISCIENTOS SETENTA Y SEIS</w:t>
      </w:r>
      <w:r w:rsidR="00AA4D05">
        <w:rPr>
          <w:rFonts w:cs="Arial"/>
          <w:b/>
          <w:bCs/>
          <w:lang w:eastAsia="ar-SA"/>
        </w:rPr>
        <w:t xml:space="preserve"> </w:t>
      </w:r>
      <w:r w:rsidR="0041675F" w:rsidRPr="005F2C03">
        <w:rPr>
          <w:rFonts w:cs="Arial"/>
          <w:b/>
          <w:bCs/>
          <w:lang w:eastAsia="ar-SA"/>
        </w:rPr>
        <w:t>PESOS M</w:t>
      </w:r>
      <w:r w:rsidRPr="005F2C03">
        <w:rPr>
          <w:rFonts w:cs="Arial"/>
          <w:b/>
          <w:bCs/>
          <w:lang w:eastAsia="ar-SA"/>
        </w:rPr>
        <w:t>/CTE</w:t>
      </w:r>
      <w:r w:rsidR="00B737D7" w:rsidRPr="005F2C03">
        <w:rPr>
          <w:rFonts w:cs="Arial"/>
          <w:b/>
          <w:bCs/>
          <w:lang w:eastAsia="ar-SA"/>
        </w:rPr>
        <w:t xml:space="preserve"> </w:t>
      </w:r>
      <w:r w:rsidR="001F5598" w:rsidRPr="005F2C03">
        <w:rPr>
          <w:rFonts w:cs="Arial"/>
          <w:b/>
          <w:bCs/>
          <w:lang w:eastAsia="ar-SA"/>
        </w:rPr>
        <w:t>(</w:t>
      </w:r>
      <w:r w:rsidR="008F586C" w:rsidRPr="005F2C03">
        <w:rPr>
          <w:rFonts w:eastAsia="Times New Roman" w:cs="Calibri"/>
          <w:b/>
          <w:bCs/>
          <w:color w:val="000000"/>
          <w:lang w:eastAsia="es-CO"/>
        </w:rPr>
        <w:t>$</w:t>
      </w:r>
      <w:r w:rsidR="00743428">
        <w:rPr>
          <w:rFonts w:eastAsia="Times New Roman" w:cs="Calibri"/>
          <w:b/>
          <w:bCs/>
          <w:color w:val="000000"/>
          <w:lang w:eastAsia="es-CO"/>
        </w:rPr>
        <w:t>1.430.</w:t>
      </w:r>
      <w:r w:rsidR="004065B3">
        <w:rPr>
          <w:rFonts w:eastAsia="Times New Roman" w:cs="Calibri"/>
          <w:b/>
          <w:bCs/>
          <w:color w:val="000000"/>
          <w:lang w:eastAsia="es-CO"/>
        </w:rPr>
        <w:t>344.676</w:t>
      </w:r>
      <w:r w:rsidR="00B737D7" w:rsidRPr="005F2C03">
        <w:rPr>
          <w:rFonts w:eastAsia="Times New Roman" w:cs="Calibri"/>
          <w:b/>
          <w:bCs/>
          <w:color w:val="000000"/>
          <w:lang w:eastAsia="es-CO"/>
        </w:rPr>
        <w:t xml:space="preserve">) </w:t>
      </w:r>
      <w:r w:rsidR="00B737D7" w:rsidRPr="005F2C03">
        <w:rPr>
          <w:rFonts w:cs="Arial"/>
          <w:b/>
          <w:bCs/>
        </w:rPr>
        <w:t>incluido IVA</w:t>
      </w:r>
      <w:r w:rsidR="00B737D7" w:rsidRPr="005F2C03">
        <w:rPr>
          <w:rFonts w:cs="Arial"/>
        </w:rPr>
        <w:t xml:space="preserve"> y los costos directos e indirectos a los que haya lugar</w:t>
      </w:r>
      <w:r w:rsidRPr="005F2C03">
        <w:rPr>
          <w:rFonts w:cs="Arial"/>
          <w:lang w:eastAsia="ar-SA"/>
        </w:rPr>
        <w:t xml:space="preserve">, de acuerdo con el certificado disponibilidad presupuestal No. </w:t>
      </w:r>
      <w:r w:rsidR="009E646C" w:rsidRPr="005F2C03">
        <w:rPr>
          <w:rFonts w:cs="Arial"/>
          <w:color w:val="FF0000"/>
          <w:lang w:eastAsia="ar-SA"/>
        </w:rPr>
        <w:t>XXXXXXX</w:t>
      </w:r>
      <w:r w:rsidRPr="005F2C03">
        <w:rPr>
          <w:rFonts w:cs="Arial"/>
          <w:color w:val="FF0000"/>
          <w:lang w:eastAsia="ar-SA"/>
        </w:rPr>
        <w:t xml:space="preserve"> </w:t>
      </w:r>
      <w:r w:rsidRPr="005F2C03">
        <w:rPr>
          <w:rFonts w:cs="Arial"/>
          <w:lang w:eastAsia="ar-SA"/>
        </w:rPr>
        <w:t>expedido por la Subgerencia Financiera de la ELC.</w:t>
      </w:r>
    </w:p>
    <w:p w14:paraId="0501C4D4" w14:textId="77777777" w:rsidR="00B737D7" w:rsidRPr="005F2C03" w:rsidRDefault="00B737D7" w:rsidP="002C43B5">
      <w:pPr>
        <w:jc w:val="both"/>
        <w:rPr>
          <w:rFonts w:cs="Arial"/>
          <w:lang w:eastAsia="ar-SA"/>
        </w:rPr>
      </w:pPr>
    </w:p>
    <w:p w14:paraId="08CB9070" w14:textId="72AB8F9C" w:rsidR="00B737D7" w:rsidRPr="005F2C03" w:rsidRDefault="00B737D7" w:rsidP="00B737D7">
      <w:pPr>
        <w:ind w:right="51"/>
        <w:jc w:val="both"/>
        <w:rPr>
          <w:rFonts w:cs="Arial"/>
        </w:rPr>
      </w:pPr>
      <w:r w:rsidRPr="005F2C03">
        <w:rPr>
          <w:rFonts w:cs="Arial"/>
        </w:rPr>
        <w:t xml:space="preserve">Así mismo y como quiera que el proceso se estructura por grupos con la finalidad de buscar la mayor participación de oferentes y </w:t>
      </w:r>
      <w:r w:rsidR="007B3A70" w:rsidRPr="005F2C03">
        <w:rPr>
          <w:rFonts w:cs="Arial"/>
        </w:rPr>
        <w:t xml:space="preserve">el </w:t>
      </w:r>
      <w:r w:rsidRPr="005F2C03">
        <w:rPr>
          <w:rFonts w:cs="Arial"/>
        </w:rPr>
        <w:t xml:space="preserve">menor precio, a </w:t>
      </w:r>
      <w:r w:rsidR="00C93989" w:rsidRPr="005F2C03">
        <w:rPr>
          <w:rFonts w:cs="Arial"/>
        </w:rPr>
        <w:t>continuación,</w:t>
      </w:r>
      <w:r w:rsidRPr="005F2C03">
        <w:rPr>
          <w:rFonts w:cs="Arial"/>
        </w:rPr>
        <w:t xml:space="preserve"> </w:t>
      </w:r>
      <w:r w:rsidR="007B3A70" w:rsidRPr="005F2C03">
        <w:rPr>
          <w:rFonts w:cs="Arial"/>
        </w:rPr>
        <w:t xml:space="preserve">se detalla </w:t>
      </w:r>
      <w:r w:rsidRPr="005F2C03">
        <w:rPr>
          <w:rFonts w:cs="Arial"/>
        </w:rPr>
        <w:t xml:space="preserve">el presupuesto estimado por grupo así: </w:t>
      </w:r>
    </w:p>
    <w:p w14:paraId="0470C786" w14:textId="77777777" w:rsidR="00B737D7" w:rsidRPr="005F2C03" w:rsidRDefault="00B737D7" w:rsidP="00B737D7">
      <w:pPr>
        <w:ind w:right="51"/>
        <w:jc w:val="both"/>
        <w:rPr>
          <w:rFonts w:cs="Arial"/>
        </w:rPr>
      </w:pPr>
    </w:p>
    <w:p w14:paraId="00B1A78B" w14:textId="1D01F429" w:rsidR="00C93989" w:rsidRPr="00EE26BA" w:rsidRDefault="00C93989" w:rsidP="00C93989">
      <w:pPr>
        <w:ind w:right="51"/>
        <w:jc w:val="both"/>
        <w:rPr>
          <w:rFonts w:cs="Arial"/>
          <w:b/>
          <w:bCs/>
        </w:rPr>
      </w:pPr>
      <w:r w:rsidRPr="00EE26BA">
        <w:rPr>
          <w:rFonts w:cs="Arial"/>
          <w:b/>
          <w:bCs/>
          <w:u w:val="single"/>
        </w:rPr>
        <w:t>GRUPO No. 1:</w:t>
      </w:r>
      <w:r w:rsidRPr="00EE26BA">
        <w:rPr>
          <w:rFonts w:cs="Arial"/>
        </w:rPr>
        <w:t xml:space="preserve"> Se estima un presupuesto de hasta </w:t>
      </w:r>
      <w:r w:rsidR="00AA4D05" w:rsidRPr="005F2C03">
        <w:rPr>
          <w:rFonts w:cs="Arial"/>
          <w:lang w:eastAsia="ar-SA"/>
        </w:rPr>
        <w:t xml:space="preserve">de </w:t>
      </w:r>
      <w:r w:rsidR="00AA4D05">
        <w:rPr>
          <w:rFonts w:cs="Arial"/>
          <w:b/>
          <w:bCs/>
          <w:lang w:eastAsia="ar-SA"/>
        </w:rPr>
        <w:t xml:space="preserve">NOVECIENTOS NOVENTA Y SIETE MILLONES DOSCIENTOS SESENTA Y NUEVE MIL NOVECIENTOS OCHO </w:t>
      </w:r>
      <w:r w:rsidR="00AA4D05" w:rsidRPr="005F2C03">
        <w:rPr>
          <w:rFonts w:cs="Arial"/>
          <w:b/>
          <w:bCs/>
          <w:lang w:eastAsia="ar-SA"/>
        </w:rPr>
        <w:t>PESOS M/CTE (</w:t>
      </w:r>
      <w:r w:rsidR="00AA4D05" w:rsidRPr="005F2C03">
        <w:rPr>
          <w:rFonts w:eastAsia="Times New Roman" w:cs="Calibri"/>
          <w:b/>
          <w:bCs/>
          <w:color w:val="000000"/>
          <w:lang w:eastAsia="es-CO"/>
        </w:rPr>
        <w:t>$</w:t>
      </w:r>
      <w:r w:rsidR="00AA4D05">
        <w:rPr>
          <w:rFonts w:eastAsia="Times New Roman" w:cs="Calibri"/>
          <w:b/>
          <w:bCs/>
          <w:color w:val="000000"/>
          <w:lang w:eastAsia="es-CO"/>
        </w:rPr>
        <w:t>997.269.908</w:t>
      </w:r>
      <w:r w:rsidR="00AA4D05" w:rsidRPr="005F2C03">
        <w:rPr>
          <w:rFonts w:eastAsia="Times New Roman" w:cs="Calibri"/>
          <w:b/>
          <w:bCs/>
          <w:color w:val="000000"/>
          <w:lang w:eastAsia="es-CO"/>
        </w:rPr>
        <w:t xml:space="preserve">) </w:t>
      </w:r>
      <w:r w:rsidRPr="00EE26BA">
        <w:rPr>
          <w:rFonts w:cs="Arial"/>
          <w:bCs/>
        </w:rPr>
        <w:t>Incluido IVA y</w:t>
      </w:r>
      <w:r w:rsidRPr="00EE26BA">
        <w:rPr>
          <w:rFonts w:cs="Arial"/>
        </w:rPr>
        <w:t xml:space="preserve"> demás impuestos tasas y contribuciones que apliquen para una</w:t>
      </w:r>
      <w:r w:rsidRPr="00EE26BA">
        <w:rPr>
          <w:rFonts w:cs="Arial"/>
          <w:b/>
          <w:bCs/>
        </w:rPr>
        <w:t xml:space="preserve"> vigencia de </w:t>
      </w:r>
      <w:r w:rsidR="004271AD">
        <w:rPr>
          <w:rFonts w:cs="Arial"/>
          <w:b/>
          <w:bCs/>
        </w:rPr>
        <w:t>304</w:t>
      </w:r>
      <w:r w:rsidRPr="00EE26BA">
        <w:rPr>
          <w:rFonts w:cs="Arial"/>
          <w:b/>
          <w:bCs/>
        </w:rPr>
        <w:t xml:space="preserve"> días.</w:t>
      </w:r>
    </w:p>
    <w:p w14:paraId="3A75409C" w14:textId="77777777" w:rsidR="00C93989" w:rsidRPr="00EE26BA" w:rsidRDefault="00C93989" w:rsidP="00C93989">
      <w:pPr>
        <w:ind w:right="51"/>
        <w:jc w:val="both"/>
        <w:rPr>
          <w:rFonts w:cs="Arial"/>
          <w:b/>
          <w:bCs/>
        </w:rPr>
      </w:pPr>
    </w:p>
    <w:p w14:paraId="3F3C7498" w14:textId="3F5F56BA" w:rsidR="00C93989" w:rsidRPr="00EE26BA" w:rsidRDefault="00C93989" w:rsidP="00C93989">
      <w:pPr>
        <w:jc w:val="both"/>
        <w:rPr>
          <w:rFonts w:cs="Arial"/>
          <w:lang w:eastAsia="es-CO"/>
        </w:rPr>
      </w:pPr>
      <w:r w:rsidRPr="00EE26BA">
        <w:rPr>
          <w:rFonts w:cs="Arial"/>
          <w:b/>
          <w:bCs/>
          <w:u w:val="single"/>
        </w:rPr>
        <w:t>GRUPO No. 2:</w:t>
      </w:r>
      <w:r w:rsidRPr="00EE26BA">
        <w:rPr>
          <w:rFonts w:cs="Arial"/>
        </w:rPr>
        <w:t xml:space="preserve"> Se estima un presupuesto de hasta</w:t>
      </w:r>
      <w:r w:rsidRPr="00EE26BA">
        <w:rPr>
          <w:rFonts w:cs="Arial"/>
          <w:b/>
          <w:bCs/>
        </w:rPr>
        <w:t xml:space="preserve"> </w:t>
      </w:r>
      <w:r w:rsidR="00BE6CAC">
        <w:rPr>
          <w:rFonts w:cs="Arial"/>
          <w:b/>
          <w:bCs/>
        </w:rPr>
        <w:t>DOSCIENTOS CINCUENTA Y OCHO MILLONES SETECIENTOS TREINTA Y DOS MIL DOSCIENTOS TREINTA Y OCHO</w:t>
      </w:r>
      <w:r w:rsidRPr="00EE26BA">
        <w:rPr>
          <w:rFonts w:cs="Arial"/>
          <w:b/>
          <w:bCs/>
        </w:rPr>
        <w:t xml:space="preserve"> PESOS M/CTE ($</w:t>
      </w:r>
      <w:r w:rsidR="00BE6CAC">
        <w:rPr>
          <w:rFonts w:cs="Arial"/>
          <w:b/>
          <w:bCs/>
          <w:lang w:eastAsia="es-CO"/>
        </w:rPr>
        <w:t>258.732.238</w:t>
      </w:r>
      <w:r w:rsidRPr="00EE26BA">
        <w:rPr>
          <w:rFonts w:cs="Arial"/>
          <w:b/>
          <w:bCs/>
          <w:lang w:eastAsia="es-CO"/>
        </w:rPr>
        <w:t>)</w:t>
      </w:r>
      <w:r w:rsidRPr="00EE26BA">
        <w:rPr>
          <w:rFonts w:cs="Arial"/>
          <w:b/>
          <w:bCs/>
        </w:rPr>
        <w:t xml:space="preserve"> </w:t>
      </w:r>
      <w:r w:rsidRPr="00EE26BA">
        <w:rPr>
          <w:rFonts w:cs="Arial"/>
        </w:rPr>
        <w:t xml:space="preserve">Incluido IVA y demás impuestos tasas y contribuciones que apliquen para una </w:t>
      </w:r>
      <w:r w:rsidRPr="00EE26BA">
        <w:rPr>
          <w:rFonts w:cs="Arial"/>
          <w:b/>
          <w:bCs/>
        </w:rPr>
        <w:t xml:space="preserve">vigencia de </w:t>
      </w:r>
      <w:r w:rsidR="004271AD">
        <w:rPr>
          <w:rFonts w:cs="Arial"/>
          <w:b/>
          <w:bCs/>
        </w:rPr>
        <w:t>304</w:t>
      </w:r>
      <w:r w:rsidRPr="00EE26BA">
        <w:rPr>
          <w:rFonts w:cs="Arial"/>
          <w:b/>
          <w:bCs/>
        </w:rPr>
        <w:t xml:space="preserve"> días.</w:t>
      </w:r>
    </w:p>
    <w:p w14:paraId="0D51BAF2" w14:textId="77777777" w:rsidR="00C93989" w:rsidRPr="00EE26BA" w:rsidRDefault="00C93989" w:rsidP="00C93989">
      <w:pPr>
        <w:ind w:right="51"/>
        <w:jc w:val="both"/>
        <w:rPr>
          <w:rFonts w:cs="Arial"/>
        </w:rPr>
      </w:pPr>
    </w:p>
    <w:p w14:paraId="137D9395" w14:textId="450A4666" w:rsidR="00C93989" w:rsidRPr="00EE26BA" w:rsidRDefault="00C93989" w:rsidP="00C93989">
      <w:pPr>
        <w:jc w:val="both"/>
        <w:rPr>
          <w:rFonts w:cs="Arial"/>
          <w:b/>
          <w:bCs/>
        </w:rPr>
      </w:pPr>
      <w:r w:rsidRPr="00EE26BA">
        <w:rPr>
          <w:rFonts w:cs="Arial"/>
          <w:b/>
          <w:bCs/>
          <w:u w:val="single"/>
        </w:rPr>
        <w:t>GRUPO No. 3:</w:t>
      </w:r>
      <w:r w:rsidRPr="00EE26BA">
        <w:rPr>
          <w:rFonts w:cs="Arial"/>
        </w:rPr>
        <w:t xml:space="preserve"> Se estima un presupuesto de hasta </w:t>
      </w:r>
      <w:r w:rsidR="004271AD">
        <w:rPr>
          <w:rFonts w:cs="Arial"/>
          <w:b/>
        </w:rPr>
        <w:t xml:space="preserve">CIENTO CINCUENTA Y NUEVE MILLONES QUINIENTOS SETENTA MIL </w:t>
      </w:r>
      <w:r w:rsidR="001448A5">
        <w:rPr>
          <w:rFonts w:cs="Arial"/>
          <w:b/>
        </w:rPr>
        <w:t>OCHOCIENTOS CINCUENTA</w:t>
      </w:r>
      <w:r w:rsidRPr="00EE26BA">
        <w:rPr>
          <w:rFonts w:cs="Arial"/>
          <w:b/>
        </w:rPr>
        <w:t xml:space="preserve"> PESOS M/CTE ($ </w:t>
      </w:r>
      <w:r w:rsidR="004271AD">
        <w:rPr>
          <w:rFonts w:cs="Arial"/>
          <w:b/>
        </w:rPr>
        <w:t>159.570.850</w:t>
      </w:r>
      <w:r w:rsidRPr="00EE26BA">
        <w:rPr>
          <w:rFonts w:cs="Arial"/>
          <w:b/>
        </w:rPr>
        <w:t xml:space="preserve">) </w:t>
      </w:r>
      <w:r w:rsidRPr="00EE26BA">
        <w:rPr>
          <w:rFonts w:cs="Arial"/>
          <w:bCs/>
        </w:rPr>
        <w:t>Incluido IVA y</w:t>
      </w:r>
      <w:r w:rsidRPr="00EE26BA">
        <w:rPr>
          <w:rFonts w:cs="Arial"/>
        </w:rPr>
        <w:t xml:space="preserve"> demás impuestos tasas y contribuciones que apliquen para una</w:t>
      </w:r>
      <w:r w:rsidRPr="00EE26BA">
        <w:rPr>
          <w:rFonts w:cs="Arial"/>
          <w:b/>
          <w:bCs/>
        </w:rPr>
        <w:t xml:space="preserve"> vigencia de </w:t>
      </w:r>
      <w:r w:rsidR="004271AD">
        <w:rPr>
          <w:rFonts w:cs="Arial"/>
          <w:b/>
          <w:bCs/>
        </w:rPr>
        <w:t>304</w:t>
      </w:r>
      <w:r w:rsidRPr="00EE26BA">
        <w:rPr>
          <w:rFonts w:cs="Arial"/>
          <w:b/>
          <w:bCs/>
        </w:rPr>
        <w:t xml:space="preserve"> días.</w:t>
      </w:r>
    </w:p>
    <w:p w14:paraId="53938169" w14:textId="77777777" w:rsidR="00C93989" w:rsidRPr="00EE26BA" w:rsidRDefault="00C93989" w:rsidP="00C93989">
      <w:pPr>
        <w:jc w:val="both"/>
        <w:rPr>
          <w:rFonts w:cs="Arial"/>
          <w:b/>
          <w:bCs/>
        </w:rPr>
      </w:pPr>
    </w:p>
    <w:p w14:paraId="5CD88185" w14:textId="150A50F2" w:rsidR="00C93989" w:rsidRPr="00EE26BA" w:rsidRDefault="00C93989" w:rsidP="00C93989">
      <w:pPr>
        <w:jc w:val="both"/>
        <w:rPr>
          <w:rFonts w:cs="Arial"/>
          <w:b/>
          <w:bCs/>
        </w:rPr>
      </w:pPr>
      <w:r w:rsidRPr="00EE26BA">
        <w:rPr>
          <w:rFonts w:cs="Arial"/>
          <w:b/>
          <w:bCs/>
          <w:u w:val="single"/>
        </w:rPr>
        <w:t>GRUPO No. 4:</w:t>
      </w:r>
      <w:r w:rsidRPr="00EE26BA">
        <w:rPr>
          <w:rFonts w:cs="Arial"/>
        </w:rPr>
        <w:t xml:space="preserve"> Se estima un presupuesto de hasta </w:t>
      </w:r>
      <w:r w:rsidR="000E321D">
        <w:rPr>
          <w:rFonts w:cs="Arial"/>
          <w:b/>
        </w:rPr>
        <w:t xml:space="preserve">ONCE MILLONES TRESCIENTOS CINCUENTA Y DOS MIL QUINIENTOS OCHENTA </w:t>
      </w:r>
      <w:r w:rsidRPr="00EE26BA">
        <w:rPr>
          <w:rFonts w:cs="Arial"/>
          <w:b/>
        </w:rPr>
        <w:t xml:space="preserve">PESOS M/CTE ($ </w:t>
      </w:r>
      <w:r w:rsidR="000E321D">
        <w:rPr>
          <w:rFonts w:cs="Arial"/>
          <w:b/>
        </w:rPr>
        <w:t>11.352.580</w:t>
      </w:r>
      <w:r w:rsidRPr="00EE26BA">
        <w:rPr>
          <w:rFonts w:cs="Arial"/>
          <w:b/>
        </w:rPr>
        <w:t xml:space="preserve">) </w:t>
      </w:r>
      <w:r w:rsidRPr="00EE26BA">
        <w:rPr>
          <w:rFonts w:cs="Arial"/>
          <w:bCs/>
        </w:rPr>
        <w:t>Incluido IVA y</w:t>
      </w:r>
      <w:r w:rsidRPr="00EE26BA">
        <w:rPr>
          <w:rFonts w:cs="Arial"/>
        </w:rPr>
        <w:t xml:space="preserve"> demás impuestos tasas y contribuciones que apliquen para una</w:t>
      </w:r>
      <w:r w:rsidRPr="00EE26BA">
        <w:rPr>
          <w:rFonts w:cs="Arial"/>
          <w:b/>
          <w:bCs/>
        </w:rPr>
        <w:t xml:space="preserve"> vigencia de </w:t>
      </w:r>
      <w:r w:rsidR="004271AD">
        <w:rPr>
          <w:rFonts w:cs="Arial"/>
          <w:b/>
          <w:bCs/>
        </w:rPr>
        <w:t>304</w:t>
      </w:r>
      <w:r w:rsidRPr="00EE26BA">
        <w:rPr>
          <w:rFonts w:cs="Arial"/>
          <w:b/>
          <w:bCs/>
        </w:rPr>
        <w:t xml:space="preserve"> días.</w:t>
      </w:r>
    </w:p>
    <w:p w14:paraId="78EDA620" w14:textId="77777777" w:rsidR="00C93989" w:rsidRPr="00EE26BA" w:rsidRDefault="00C93989" w:rsidP="00C93989">
      <w:pPr>
        <w:jc w:val="both"/>
        <w:rPr>
          <w:rFonts w:cs="Arial"/>
          <w:b/>
          <w:bCs/>
        </w:rPr>
      </w:pPr>
    </w:p>
    <w:p w14:paraId="500B1F85" w14:textId="544F2B03" w:rsidR="00C93989" w:rsidRPr="00EE26BA" w:rsidRDefault="00C93989" w:rsidP="00C93989">
      <w:pPr>
        <w:jc w:val="both"/>
        <w:rPr>
          <w:rFonts w:cs="Arial"/>
          <w:b/>
          <w:bCs/>
        </w:rPr>
      </w:pPr>
      <w:r w:rsidRPr="00EE26BA">
        <w:rPr>
          <w:rFonts w:cs="Arial"/>
          <w:b/>
          <w:bCs/>
          <w:u w:val="single"/>
        </w:rPr>
        <w:t>GRUPO No. 5:</w:t>
      </w:r>
      <w:r w:rsidRPr="00EE26BA">
        <w:rPr>
          <w:rFonts w:cs="Arial"/>
        </w:rPr>
        <w:t xml:space="preserve"> Se estima un presupuesto de hasta </w:t>
      </w:r>
      <w:r w:rsidRPr="00EE26BA">
        <w:rPr>
          <w:rFonts w:cs="Arial"/>
          <w:b/>
        </w:rPr>
        <w:t xml:space="preserve">TRES MILLONES </w:t>
      </w:r>
      <w:r w:rsidR="004065B3">
        <w:rPr>
          <w:rFonts w:cs="Arial"/>
          <w:b/>
        </w:rPr>
        <w:t>CUATROCIENTOS DIECINUEVE MIL CIEN</w:t>
      </w:r>
      <w:r w:rsidRPr="00EE26BA">
        <w:rPr>
          <w:rFonts w:cs="Arial"/>
          <w:b/>
        </w:rPr>
        <w:t xml:space="preserve"> PESOS M/CTE ($3.</w:t>
      </w:r>
      <w:r w:rsidR="004065B3">
        <w:rPr>
          <w:rFonts w:cs="Arial"/>
          <w:b/>
        </w:rPr>
        <w:t>419.100</w:t>
      </w:r>
      <w:r w:rsidRPr="00EE26BA">
        <w:rPr>
          <w:rFonts w:cs="Arial"/>
          <w:b/>
        </w:rPr>
        <w:t xml:space="preserve">) </w:t>
      </w:r>
      <w:r w:rsidRPr="00EE26BA">
        <w:rPr>
          <w:rFonts w:cs="Arial"/>
          <w:bCs/>
        </w:rPr>
        <w:t>Incluido IVA y</w:t>
      </w:r>
      <w:r w:rsidRPr="00EE26BA">
        <w:rPr>
          <w:rFonts w:cs="Arial"/>
        </w:rPr>
        <w:t xml:space="preserve"> demás impuestos tasas y contribuciones que apliquen para una</w:t>
      </w:r>
      <w:r w:rsidRPr="00EE26BA">
        <w:rPr>
          <w:rFonts w:cs="Arial"/>
          <w:b/>
          <w:bCs/>
        </w:rPr>
        <w:t xml:space="preserve"> vigencia de </w:t>
      </w:r>
      <w:r w:rsidR="008D78F6">
        <w:rPr>
          <w:rFonts w:cs="Arial"/>
          <w:b/>
          <w:bCs/>
        </w:rPr>
        <w:t>365</w:t>
      </w:r>
      <w:r w:rsidRPr="00EE26BA">
        <w:rPr>
          <w:rFonts w:cs="Arial"/>
          <w:b/>
          <w:bCs/>
        </w:rPr>
        <w:t xml:space="preserve"> días.</w:t>
      </w:r>
    </w:p>
    <w:p w14:paraId="4B55F44F" w14:textId="77777777" w:rsidR="00B737D7" w:rsidRPr="005F2C03" w:rsidRDefault="00B737D7" w:rsidP="00B737D7">
      <w:pPr>
        <w:jc w:val="both"/>
        <w:rPr>
          <w:rFonts w:cs="Arial"/>
        </w:rPr>
      </w:pPr>
    </w:p>
    <w:p w14:paraId="3B8A5823" w14:textId="77777777" w:rsidR="00B737D7" w:rsidRPr="005F2C03" w:rsidRDefault="00B737D7" w:rsidP="00B737D7">
      <w:pPr>
        <w:ind w:right="51"/>
        <w:rPr>
          <w:rFonts w:cs="Arial"/>
        </w:rPr>
      </w:pPr>
      <w:r w:rsidRPr="005F2C03">
        <w:rPr>
          <w:rFonts w:cs="Arial"/>
          <w:b/>
        </w:rPr>
        <w:t>NOTAS</w:t>
      </w:r>
      <w:r w:rsidRPr="005F2C03">
        <w:rPr>
          <w:rFonts w:cs="Arial"/>
        </w:rPr>
        <w:t>:</w:t>
      </w:r>
    </w:p>
    <w:p w14:paraId="4563FD99" w14:textId="77777777" w:rsidR="00B737D7" w:rsidRPr="005F2C03" w:rsidRDefault="00B737D7" w:rsidP="00B737D7">
      <w:pPr>
        <w:ind w:right="51"/>
        <w:rPr>
          <w:rFonts w:cs="Arial"/>
        </w:rPr>
      </w:pPr>
    </w:p>
    <w:p w14:paraId="2804A9FB" w14:textId="77777777" w:rsidR="00B737D7" w:rsidRPr="005F2C03" w:rsidRDefault="00B737D7">
      <w:pPr>
        <w:numPr>
          <w:ilvl w:val="0"/>
          <w:numId w:val="1"/>
        </w:numPr>
        <w:ind w:left="284" w:right="51" w:hanging="284"/>
        <w:jc w:val="both"/>
        <w:rPr>
          <w:rFonts w:cs="Arial"/>
        </w:rPr>
      </w:pPr>
      <w:r w:rsidRPr="005F2C03">
        <w:rPr>
          <w:rFonts w:cs="Arial"/>
        </w:rPr>
        <w:t>El presupuesto oficial estimado incluye el valor de las primas y los impuestos a que haya lugar.</w:t>
      </w:r>
    </w:p>
    <w:p w14:paraId="55F9BC07" w14:textId="71B9C134" w:rsidR="00B737D7" w:rsidRPr="005F2C03" w:rsidRDefault="005A0D22">
      <w:pPr>
        <w:numPr>
          <w:ilvl w:val="0"/>
          <w:numId w:val="1"/>
        </w:numPr>
        <w:ind w:left="284" w:right="51" w:hanging="284"/>
        <w:jc w:val="both"/>
        <w:rPr>
          <w:rFonts w:cs="Arial"/>
        </w:rPr>
      </w:pPr>
      <w:r w:rsidRPr="005F2C03">
        <w:rPr>
          <w:rFonts w:cs="Arial"/>
        </w:rPr>
        <w:t>ELC</w:t>
      </w:r>
      <w:r w:rsidR="00B737D7" w:rsidRPr="005F2C03">
        <w:rPr>
          <w:rFonts w:cs="Arial"/>
        </w:rPr>
        <w:t xml:space="preserve"> busca el menor precio, por lo cual, la propuesta </w:t>
      </w:r>
      <w:r w:rsidR="00B737D7" w:rsidRPr="005F2C03">
        <w:rPr>
          <w:rFonts w:cs="Arial"/>
          <w:u w:val="single"/>
        </w:rPr>
        <w:t>no podrá sobrepasar el presupuesto estimado para el presente proceso</w:t>
      </w:r>
      <w:r w:rsidR="00B737D7" w:rsidRPr="005F2C03">
        <w:rPr>
          <w:rFonts w:cs="Arial"/>
        </w:rPr>
        <w:t>, so pena de rechazo.</w:t>
      </w:r>
    </w:p>
    <w:p w14:paraId="68AF3B12" w14:textId="6FF9A6CC" w:rsidR="00B737D7" w:rsidRDefault="005A0D22">
      <w:pPr>
        <w:numPr>
          <w:ilvl w:val="0"/>
          <w:numId w:val="1"/>
        </w:numPr>
        <w:ind w:left="284" w:right="51" w:hanging="284"/>
        <w:jc w:val="both"/>
        <w:rPr>
          <w:rFonts w:cs="Arial"/>
        </w:rPr>
      </w:pPr>
      <w:r w:rsidRPr="005F2C03">
        <w:rPr>
          <w:rFonts w:cs="Arial"/>
        </w:rPr>
        <w:t>ELC</w:t>
      </w:r>
      <w:r w:rsidR="00B737D7" w:rsidRPr="005F2C03">
        <w:rPr>
          <w:rFonts w:cs="Arial"/>
        </w:rPr>
        <w:t xml:space="preserve"> busca el menor precio, por lo cual, la propuesta </w:t>
      </w:r>
      <w:r w:rsidR="00B737D7" w:rsidRPr="005F2C03">
        <w:rPr>
          <w:rFonts w:cs="Arial"/>
          <w:u w:val="single"/>
        </w:rPr>
        <w:t>no podrá sobrepasar el presupuesto oficial estimado por grupo</w:t>
      </w:r>
      <w:r w:rsidR="00B737D7" w:rsidRPr="005F2C03">
        <w:rPr>
          <w:rFonts w:cs="Arial"/>
        </w:rPr>
        <w:t>, so pena de rechazo.</w:t>
      </w:r>
    </w:p>
    <w:p w14:paraId="1EB6F89F" w14:textId="77777777" w:rsidR="004D7B17" w:rsidRPr="005F2C03" w:rsidRDefault="004D7B17" w:rsidP="004D7B17">
      <w:pPr>
        <w:ind w:right="51"/>
        <w:jc w:val="both"/>
        <w:rPr>
          <w:rFonts w:cs="Arial"/>
        </w:rPr>
      </w:pPr>
    </w:p>
    <w:p w14:paraId="0AD2919D" w14:textId="77777777" w:rsidR="00C4639A" w:rsidRPr="005F2C03" w:rsidRDefault="005100D1" w:rsidP="005100D1">
      <w:pPr>
        <w:jc w:val="both"/>
        <w:rPr>
          <w:rFonts w:cs="Arial"/>
          <w:bCs/>
          <w:lang w:val="es-ES_tradnl"/>
        </w:rPr>
      </w:pPr>
      <w:r w:rsidRPr="005F2C03">
        <w:rPr>
          <w:rFonts w:cs="Arial"/>
          <w:b/>
          <w:lang w:val="es-ES_tradnl"/>
        </w:rPr>
        <w:t>ESPECIFICACIONES TÉCNICAS DEL PROCESO:</w:t>
      </w:r>
      <w:r w:rsidRPr="005F2C03">
        <w:rPr>
          <w:rFonts w:cs="Arial"/>
          <w:bCs/>
          <w:lang w:val="es-ES_tradnl"/>
        </w:rPr>
        <w:t xml:space="preserve"> </w:t>
      </w:r>
    </w:p>
    <w:p w14:paraId="7C96AF21" w14:textId="77777777" w:rsidR="00C4639A" w:rsidRPr="005F2C03" w:rsidRDefault="00C4639A" w:rsidP="005100D1">
      <w:pPr>
        <w:jc w:val="both"/>
        <w:rPr>
          <w:rFonts w:cs="Arial"/>
          <w:bCs/>
          <w:lang w:val="es-ES_tradnl"/>
        </w:rPr>
      </w:pPr>
    </w:p>
    <w:p w14:paraId="213A17C6" w14:textId="4B28F047" w:rsidR="006C1C8F" w:rsidRPr="005F2C03" w:rsidRDefault="006C1C8F" w:rsidP="005100D1">
      <w:pPr>
        <w:jc w:val="both"/>
        <w:rPr>
          <w:rFonts w:cs="Arial"/>
          <w:bCs/>
        </w:rPr>
      </w:pPr>
      <w:r w:rsidRPr="005F2C03">
        <w:rPr>
          <w:rFonts w:cs="Arial"/>
          <w:bCs/>
        </w:rPr>
        <w:t>La presente invitación se ha estructurado por grupos, teniendo en cuenta las políticas de suscripción de las compañías aseguradoras, los ramos aprobados por la Superintendencia Financiera de Colombia para cada una de ellas y considerando que no todas las compañías de seguros comercializan los seguros que LA EMPRESA DE LICORES DE CUNDINAMARCA requiere contratar.</w:t>
      </w:r>
    </w:p>
    <w:p w14:paraId="2CC76F9F" w14:textId="77777777" w:rsidR="006C1C8F" w:rsidRPr="005F2C03" w:rsidRDefault="006C1C8F" w:rsidP="006C1C8F">
      <w:pPr>
        <w:shd w:val="clear" w:color="auto" w:fill="FFFFFF" w:themeFill="background1"/>
        <w:ind w:right="51"/>
        <w:contextualSpacing/>
        <w:jc w:val="both"/>
        <w:rPr>
          <w:rFonts w:cs="Arial"/>
        </w:rPr>
      </w:pPr>
    </w:p>
    <w:p w14:paraId="48D0BDE9" w14:textId="1DC76570" w:rsidR="006A4529" w:rsidRPr="005F2C03" w:rsidRDefault="006C1C8F" w:rsidP="006C1C8F">
      <w:pPr>
        <w:shd w:val="clear" w:color="auto" w:fill="FFFFFF" w:themeFill="background1"/>
        <w:ind w:right="51"/>
        <w:contextualSpacing/>
        <w:jc w:val="both"/>
        <w:rPr>
          <w:rFonts w:cs="Arial"/>
          <w:b/>
          <w:bCs/>
          <w:lang w:eastAsia="ar-SA"/>
        </w:rPr>
      </w:pPr>
      <w:r w:rsidRPr="005F2C03">
        <w:rPr>
          <w:rFonts w:cs="Arial"/>
        </w:rPr>
        <w:t>En ese orden de ideas, los seguros a contratar por LA EMPRESA DE LICORES DE CUNDINAMARCA se encuentran distribuidos de la siguiente manera:</w:t>
      </w:r>
    </w:p>
    <w:p w14:paraId="0A2B0A01" w14:textId="77777777" w:rsidR="00465DFB" w:rsidRPr="005F2C03" w:rsidRDefault="00465DFB" w:rsidP="002C43B5">
      <w:pPr>
        <w:jc w:val="both"/>
        <w:rPr>
          <w:rFonts w:cs="Arial"/>
          <w:b/>
          <w:bCs/>
          <w:lang w:eastAsia="ar-SA"/>
        </w:rPr>
      </w:pPr>
    </w:p>
    <w:tbl>
      <w:tblPr>
        <w:tblW w:w="7723" w:type="dxa"/>
        <w:jc w:val="center"/>
        <w:tblLayout w:type="fixed"/>
        <w:tblLook w:val="0000" w:firstRow="0" w:lastRow="0" w:firstColumn="0" w:lastColumn="0" w:noHBand="0" w:noVBand="0"/>
      </w:tblPr>
      <w:tblGrid>
        <w:gridCol w:w="1605"/>
        <w:gridCol w:w="6118"/>
      </w:tblGrid>
      <w:tr w:rsidR="00465DFB" w:rsidRPr="005F2C03" w14:paraId="3E70E7B6" w14:textId="77777777" w:rsidTr="002E735E">
        <w:trPr>
          <w:trHeight w:val="221"/>
          <w:jc w:val="center"/>
        </w:trPr>
        <w:tc>
          <w:tcPr>
            <w:tcW w:w="1605" w:type="dxa"/>
            <w:tcBorders>
              <w:top w:val="single" w:sz="4" w:space="0" w:color="000000"/>
              <w:left w:val="single" w:sz="4" w:space="0" w:color="000000"/>
              <w:bottom w:val="single" w:sz="4" w:space="0" w:color="000000"/>
            </w:tcBorders>
            <w:shd w:val="clear" w:color="auto" w:fill="ACB9CA" w:themeFill="text2" w:themeFillTint="66"/>
            <w:vAlign w:val="center"/>
          </w:tcPr>
          <w:p w14:paraId="2A0AA1F2" w14:textId="77777777" w:rsidR="00465DFB" w:rsidRPr="005F2C03" w:rsidRDefault="00465DFB" w:rsidP="002E735E">
            <w:pPr>
              <w:jc w:val="center"/>
              <w:rPr>
                <w:rFonts w:cs="Arial"/>
                <w:b/>
                <w:lang w:eastAsia="ar-SA"/>
              </w:rPr>
            </w:pPr>
            <w:r w:rsidRPr="005F2C03">
              <w:rPr>
                <w:rFonts w:cs="Arial"/>
                <w:b/>
                <w:lang w:eastAsia="ar-SA"/>
              </w:rPr>
              <w:br w:type="page"/>
              <w:t>GRUPO</w:t>
            </w:r>
          </w:p>
        </w:tc>
        <w:tc>
          <w:tcPr>
            <w:tcW w:w="6118" w:type="dxa"/>
            <w:tcBorders>
              <w:top w:val="single" w:sz="4" w:space="0" w:color="000000"/>
              <w:left w:val="single" w:sz="4" w:space="0" w:color="000000"/>
              <w:bottom w:val="single" w:sz="4" w:space="0" w:color="000000"/>
              <w:right w:val="single" w:sz="4" w:space="0" w:color="000000"/>
            </w:tcBorders>
            <w:shd w:val="clear" w:color="auto" w:fill="ACB9CA" w:themeFill="text2" w:themeFillTint="66"/>
            <w:vAlign w:val="center"/>
          </w:tcPr>
          <w:p w14:paraId="74F38CE3" w14:textId="77777777" w:rsidR="00465DFB" w:rsidRPr="005F2C03" w:rsidRDefault="00465DFB" w:rsidP="002E735E">
            <w:pPr>
              <w:jc w:val="center"/>
              <w:rPr>
                <w:rFonts w:cs="Arial"/>
                <w:b/>
                <w:lang w:eastAsia="ar-SA"/>
              </w:rPr>
            </w:pPr>
            <w:r w:rsidRPr="005F2C03">
              <w:rPr>
                <w:rFonts w:cs="Arial"/>
                <w:b/>
                <w:lang w:eastAsia="ar-SA"/>
              </w:rPr>
              <w:t>RAMOS</w:t>
            </w:r>
          </w:p>
        </w:tc>
      </w:tr>
      <w:tr w:rsidR="00465DFB" w:rsidRPr="005F2C03" w14:paraId="7E3765F5" w14:textId="77777777" w:rsidTr="002E735E">
        <w:trPr>
          <w:trHeight w:val="690"/>
          <w:jc w:val="center"/>
        </w:trPr>
        <w:tc>
          <w:tcPr>
            <w:tcW w:w="1605" w:type="dxa"/>
            <w:tcBorders>
              <w:left w:val="single" w:sz="4" w:space="0" w:color="000000"/>
              <w:bottom w:val="single" w:sz="4" w:space="0" w:color="000000"/>
            </w:tcBorders>
            <w:vAlign w:val="center"/>
          </w:tcPr>
          <w:p w14:paraId="0C7605B7" w14:textId="77777777" w:rsidR="00465DFB" w:rsidRPr="005F2C03" w:rsidRDefault="00465DFB" w:rsidP="002E735E">
            <w:pPr>
              <w:jc w:val="center"/>
              <w:rPr>
                <w:rFonts w:cs="Arial"/>
                <w:lang w:eastAsia="ar-SA"/>
              </w:rPr>
            </w:pPr>
            <w:r w:rsidRPr="005F2C03">
              <w:rPr>
                <w:rFonts w:cs="Arial"/>
                <w:lang w:eastAsia="ar-SA"/>
              </w:rPr>
              <w:t>GRUPO 1</w:t>
            </w:r>
          </w:p>
        </w:tc>
        <w:tc>
          <w:tcPr>
            <w:tcW w:w="6118" w:type="dxa"/>
            <w:tcBorders>
              <w:left w:val="single" w:sz="4" w:space="0" w:color="000000"/>
              <w:bottom w:val="single" w:sz="4" w:space="0" w:color="000000"/>
              <w:right w:val="single" w:sz="4" w:space="0" w:color="000000"/>
            </w:tcBorders>
          </w:tcPr>
          <w:p w14:paraId="26C5F3BB" w14:textId="42EAB60C" w:rsidR="00465DFB" w:rsidRPr="005F2C03" w:rsidRDefault="00465DFB" w:rsidP="002E735E">
            <w:pPr>
              <w:rPr>
                <w:rFonts w:cs="Arial"/>
                <w:lang w:eastAsia="ar-SA"/>
              </w:rPr>
            </w:pPr>
            <w:r w:rsidRPr="005F2C03">
              <w:rPr>
                <w:rFonts w:cs="Arial"/>
                <w:lang w:eastAsia="ar-SA"/>
              </w:rPr>
              <w:t>Seguro Todo Riesgo Daño</w:t>
            </w:r>
            <w:r w:rsidR="006A4529" w:rsidRPr="005F2C03">
              <w:rPr>
                <w:rFonts w:cs="Arial"/>
                <w:lang w:eastAsia="ar-SA"/>
              </w:rPr>
              <w:t>s</w:t>
            </w:r>
            <w:r w:rsidRPr="005F2C03">
              <w:rPr>
                <w:rFonts w:cs="Arial"/>
                <w:lang w:eastAsia="ar-SA"/>
              </w:rPr>
              <w:t xml:space="preserve"> Material</w:t>
            </w:r>
            <w:r w:rsidR="006A4529" w:rsidRPr="005F2C03">
              <w:rPr>
                <w:rFonts w:cs="Arial"/>
                <w:lang w:eastAsia="ar-SA"/>
              </w:rPr>
              <w:t>es</w:t>
            </w:r>
          </w:p>
          <w:p w14:paraId="132413E5" w14:textId="5DED62ED" w:rsidR="00465DFB" w:rsidRPr="005F2C03" w:rsidRDefault="00465DFB" w:rsidP="002E735E">
            <w:pPr>
              <w:rPr>
                <w:rFonts w:cs="Arial"/>
                <w:lang w:eastAsia="ar-SA"/>
              </w:rPr>
            </w:pPr>
            <w:r w:rsidRPr="005F2C03">
              <w:rPr>
                <w:rFonts w:cs="Arial"/>
                <w:lang w:eastAsia="ar-SA"/>
              </w:rPr>
              <w:t xml:space="preserve">Seguro Todo Riesgo </w:t>
            </w:r>
            <w:r w:rsidR="006A4529" w:rsidRPr="005F2C03">
              <w:rPr>
                <w:rFonts w:cs="Arial"/>
                <w:lang w:eastAsia="ar-SA"/>
              </w:rPr>
              <w:t xml:space="preserve">Equipo y </w:t>
            </w:r>
            <w:r w:rsidRPr="005F2C03">
              <w:rPr>
                <w:rFonts w:cs="Arial"/>
                <w:lang w:eastAsia="ar-SA"/>
              </w:rPr>
              <w:t xml:space="preserve">Maquinaria </w:t>
            </w:r>
          </w:p>
          <w:p w14:paraId="6A1BEC30" w14:textId="77777777" w:rsidR="00465DFB" w:rsidRPr="005F2C03" w:rsidRDefault="00465DFB" w:rsidP="002E735E">
            <w:pPr>
              <w:rPr>
                <w:rFonts w:cs="Arial"/>
                <w:lang w:eastAsia="ar-SA"/>
              </w:rPr>
            </w:pPr>
            <w:r w:rsidRPr="005F2C03">
              <w:rPr>
                <w:rFonts w:cs="Arial"/>
                <w:lang w:eastAsia="ar-SA"/>
              </w:rPr>
              <w:t xml:space="preserve">Seguro de Manejo Global Entidades Estatales </w:t>
            </w:r>
          </w:p>
          <w:p w14:paraId="143EFC9D" w14:textId="77777777" w:rsidR="006A4529" w:rsidRPr="005F2C03" w:rsidRDefault="006A4529" w:rsidP="006A4529">
            <w:pPr>
              <w:rPr>
                <w:rFonts w:cs="Arial"/>
                <w:lang w:eastAsia="ar-SA"/>
              </w:rPr>
            </w:pPr>
            <w:r w:rsidRPr="005F2C03">
              <w:rPr>
                <w:rFonts w:cs="Arial"/>
                <w:lang w:eastAsia="ar-SA"/>
              </w:rPr>
              <w:t>Seguro de Responsabilidad Civil Extracontractual</w:t>
            </w:r>
          </w:p>
          <w:p w14:paraId="4C40EFE3" w14:textId="77777777" w:rsidR="00465DFB" w:rsidRPr="005F2C03" w:rsidRDefault="00465DFB" w:rsidP="002E735E">
            <w:pPr>
              <w:rPr>
                <w:rFonts w:cs="Arial"/>
                <w:lang w:eastAsia="ar-SA"/>
              </w:rPr>
            </w:pPr>
            <w:r w:rsidRPr="005F2C03">
              <w:rPr>
                <w:rFonts w:cs="Arial"/>
                <w:lang w:eastAsia="ar-SA"/>
              </w:rPr>
              <w:t>Seguro de Automóviles</w:t>
            </w:r>
          </w:p>
          <w:p w14:paraId="11DD9F5D" w14:textId="77777777" w:rsidR="00465DFB" w:rsidRPr="005F2C03" w:rsidRDefault="00465DFB" w:rsidP="002E735E">
            <w:pPr>
              <w:rPr>
                <w:rFonts w:cs="Arial"/>
                <w:lang w:eastAsia="ar-SA"/>
              </w:rPr>
            </w:pPr>
            <w:r w:rsidRPr="005F2C03">
              <w:rPr>
                <w:rFonts w:cs="Arial"/>
                <w:lang w:eastAsia="ar-SA"/>
              </w:rPr>
              <w:t xml:space="preserve">Seguro de Transporte de Mercancías </w:t>
            </w:r>
          </w:p>
        </w:tc>
      </w:tr>
      <w:tr w:rsidR="00465DFB" w:rsidRPr="005F2C03" w14:paraId="699D36B3" w14:textId="77777777" w:rsidTr="002E735E">
        <w:trPr>
          <w:trHeight w:val="217"/>
          <w:jc w:val="center"/>
        </w:trPr>
        <w:tc>
          <w:tcPr>
            <w:tcW w:w="1605" w:type="dxa"/>
            <w:tcBorders>
              <w:left w:val="single" w:sz="4" w:space="0" w:color="000000"/>
              <w:bottom w:val="single" w:sz="4" w:space="0" w:color="000000"/>
            </w:tcBorders>
            <w:vAlign w:val="center"/>
          </w:tcPr>
          <w:p w14:paraId="2E4F6A88" w14:textId="77777777" w:rsidR="00465DFB" w:rsidRPr="005F2C03" w:rsidRDefault="00465DFB" w:rsidP="002E735E">
            <w:pPr>
              <w:jc w:val="center"/>
              <w:rPr>
                <w:rFonts w:cs="Arial"/>
                <w:lang w:eastAsia="ar-SA"/>
              </w:rPr>
            </w:pPr>
            <w:r w:rsidRPr="005F2C03">
              <w:rPr>
                <w:rFonts w:cs="Arial"/>
                <w:lang w:eastAsia="ar-SA"/>
              </w:rPr>
              <w:t>GRUPO 2</w:t>
            </w:r>
          </w:p>
        </w:tc>
        <w:tc>
          <w:tcPr>
            <w:tcW w:w="6118" w:type="dxa"/>
            <w:tcBorders>
              <w:left w:val="single" w:sz="4" w:space="0" w:color="000000"/>
              <w:bottom w:val="single" w:sz="4" w:space="0" w:color="000000"/>
              <w:right w:val="single" w:sz="4" w:space="0" w:color="000000"/>
            </w:tcBorders>
          </w:tcPr>
          <w:p w14:paraId="753411D6" w14:textId="0BCD260A" w:rsidR="00465DFB" w:rsidRPr="005F2C03" w:rsidRDefault="006A4529" w:rsidP="002E735E">
            <w:pPr>
              <w:rPr>
                <w:rFonts w:cs="Arial"/>
                <w:lang w:eastAsia="ar-SA"/>
              </w:rPr>
            </w:pPr>
            <w:r w:rsidRPr="005F2C03">
              <w:rPr>
                <w:rFonts w:cs="Arial"/>
                <w:lang w:eastAsia="ar-SA"/>
              </w:rPr>
              <w:t>Seguro de Responsabilidad Servidores Públicos</w:t>
            </w:r>
          </w:p>
        </w:tc>
      </w:tr>
      <w:tr w:rsidR="00465DFB" w:rsidRPr="005F2C03" w14:paraId="7C5E79E9" w14:textId="77777777" w:rsidTr="002E735E">
        <w:trPr>
          <w:trHeight w:val="109"/>
          <w:jc w:val="center"/>
        </w:trPr>
        <w:tc>
          <w:tcPr>
            <w:tcW w:w="1605" w:type="dxa"/>
            <w:tcBorders>
              <w:left w:val="single" w:sz="4" w:space="0" w:color="000000"/>
              <w:bottom w:val="single" w:sz="4" w:space="0" w:color="000000"/>
            </w:tcBorders>
            <w:vAlign w:val="center"/>
          </w:tcPr>
          <w:p w14:paraId="4F4869E3" w14:textId="77777777" w:rsidR="00465DFB" w:rsidRPr="005F2C03" w:rsidRDefault="00465DFB" w:rsidP="002E735E">
            <w:pPr>
              <w:jc w:val="center"/>
              <w:rPr>
                <w:rFonts w:cs="Arial"/>
                <w:lang w:eastAsia="ar-SA"/>
              </w:rPr>
            </w:pPr>
            <w:r w:rsidRPr="005F2C03">
              <w:rPr>
                <w:rFonts w:cs="Arial"/>
                <w:lang w:eastAsia="ar-SA"/>
              </w:rPr>
              <w:t>GRUPO 3</w:t>
            </w:r>
          </w:p>
        </w:tc>
        <w:tc>
          <w:tcPr>
            <w:tcW w:w="6118" w:type="dxa"/>
            <w:tcBorders>
              <w:left w:val="single" w:sz="4" w:space="0" w:color="000000"/>
              <w:bottom w:val="single" w:sz="4" w:space="0" w:color="000000"/>
              <w:right w:val="single" w:sz="4" w:space="0" w:color="000000"/>
            </w:tcBorders>
          </w:tcPr>
          <w:p w14:paraId="281302C8" w14:textId="4A4FAA9C" w:rsidR="00465DFB" w:rsidRPr="005F2C03" w:rsidRDefault="006A4529" w:rsidP="002E735E">
            <w:pPr>
              <w:rPr>
                <w:rFonts w:cs="Arial"/>
                <w:lang w:eastAsia="ar-SA"/>
              </w:rPr>
            </w:pPr>
            <w:r w:rsidRPr="005F2C03">
              <w:rPr>
                <w:rFonts w:cs="Arial"/>
                <w:lang w:eastAsia="ar-SA"/>
              </w:rPr>
              <w:t>Seguro de Infidelidad y Riesgos Financieros</w:t>
            </w:r>
          </w:p>
        </w:tc>
      </w:tr>
      <w:tr w:rsidR="006A4529" w:rsidRPr="005F2C03" w14:paraId="308E3F8A" w14:textId="77777777" w:rsidTr="002E735E">
        <w:trPr>
          <w:trHeight w:val="281"/>
          <w:jc w:val="center"/>
        </w:trPr>
        <w:tc>
          <w:tcPr>
            <w:tcW w:w="1605" w:type="dxa"/>
            <w:tcBorders>
              <w:left w:val="single" w:sz="4" w:space="0" w:color="000000"/>
              <w:bottom w:val="single" w:sz="4" w:space="0" w:color="000000"/>
            </w:tcBorders>
            <w:vAlign w:val="center"/>
          </w:tcPr>
          <w:p w14:paraId="4F77D5E1" w14:textId="77777777" w:rsidR="006A4529" w:rsidRPr="005F2C03" w:rsidRDefault="006A4529" w:rsidP="006A4529">
            <w:pPr>
              <w:jc w:val="center"/>
              <w:rPr>
                <w:rFonts w:cs="Arial"/>
                <w:lang w:eastAsia="ar-SA"/>
              </w:rPr>
            </w:pPr>
            <w:r w:rsidRPr="005F2C03">
              <w:rPr>
                <w:rFonts w:cs="Arial"/>
                <w:lang w:eastAsia="ar-SA"/>
              </w:rPr>
              <w:t>GRUPO 4</w:t>
            </w:r>
          </w:p>
        </w:tc>
        <w:tc>
          <w:tcPr>
            <w:tcW w:w="6118" w:type="dxa"/>
            <w:tcBorders>
              <w:left w:val="single" w:sz="4" w:space="0" w:color="000000"/>
              <w:bottom w:val="single" w:sz="4" w:space="0" w:color="000000"/>
              <w:right w:val="single" w:sz="4" w:space="0" w:color="000000"/>
            </w:tcBorders>
          </w:tcPr>
          <w:p w14:paraId="5959D36C" w14:textId="1BA59F9B" w:rsidR="006A4529" w:rsidRPr="005F2C03" w:rsidRDefault="006A4529" w:rsidP="006A4529">
            <w:pPr>
              <w:rPr>
                <w:rFonts w:cs="Arial"/>
                <w:lang w:eastAsia="ar-SA"/>
              </w:rPr>
            </w:pPr>
            <w:r w:rsidRPr="005F2C03">
              <w:rPr>
                <w:rFonts w:cs="Arial"/>
                <w:lang w:eastAsia="ar-SA"/>
              </w:rPr>
              <w:t>Seguro de Vida Grupo Funcionarios</w:t>
            </w:r>
            <w:r w:rsidR="006C1C8F" w:rsidRPr="005F2C03">
              <w:rPr>
                <w:rFonts w:cs="Arial"/>
                <w:lang w:eastAsia="ar-SA"/>
              </w:rPr>
              <w:t xml:space="preserve"> Integral (</w:t>
            </w:r>
            <w:proofErr w:type="spellStart"/>
            <w:r w:rsidR="006C1C8F" w:rsidRPr="005F2C03">
              <w:rPr>
                <w:rFonts w:cs="Arial"/>
                <w:lang w:eastAsia="ar-SA"/>
              </w:rPr>
              <w:t>Sinaltralic</w:t>
            </w:r>
            <w:proofErr w:type="spellEnd"/>
            <w:r w:rsidR="006C1C8F" w:rsidRPr="005F2C03">
              <w:rPr>
                <w:rFonts w:cs="Arial"/>
                <w:lang w:eastAsia="ar-SA"/>
              </w:rPr>
              <w:t>)</w:t>
            </w:r>
          </w:p>
          <w:p w14:paraId="43550ADB" w14:textId="042CEFA1" w:rsidR="006C1C8F" w:rsidRPr="005F2C03" w:rsidRDefault="006C1C8F" w:rsidP="006A4529">
            <w:pPr>
              <w:rPr>
                <w:rFonts w:cs="Arial"/>
                <w:lang w:eastAsia="ar-SA"/>
              </w:rPr>
            </w:pPr>
            <w:r w:rsidRPr="005F2C03">
              <w:rPr>
                <w:rFonts w:cs="Arial"/>
                <w:lang w:eastAsia="ar-SA"/>
              </w:rPr>
              <w:t>Seguro de Vida Grupo Funcionarios (</w:t>
            </w:r>
            <w:proofErr w:type="spellStart"/>
            <w:r w:rsidRPr="005F2C03">
              <w:rPr>
                <w:rFonts w:cs="Arial"/>
                <w:lang w:eastAsia="ar-SA"/>
              </w:rPr>
              <w:t>Sintroelicun</w:t>
            </w:r>
            <w:proofErr w:type="spellEnd"/>
            <w:r w:rsidRPr="005F2C03">
              <w:rPr>
                <w:rFonts w:cs="Arial"/>
                <w:lang w:eastAsia="ar-SA"/>
              </w:rPr>
              <w:t>)</w:t>
            </w:r>
          </w:p>
        </w:tc>
      </w:tr>
      <w:tr w:rsidR="006A4529" w:rsidRPr="005F2C03" w14:paraId="26587915" w14:textId="77777777" w:rsidTr="002E735E">
        <w:trPr>
          <w:trHeight w:val="135"/>
          <w:jc w:val="center"/>
        </w:trPr>
        <w:tc>
          <w:tcPr>
            <w:tcW w:w="1605" w:type="dxa"/>
            <w:tcBorders>
              <w:left w:val="single" w:sz="4" w:space="0" w:color="000000"/>
              <w:bottom w:val="single" w:sz="4" w:space="0" w:color="000000"/>
            </w:tcBorders>
            <w:vAlign w:val="center"/>
          </w:tcPr>
          <w:p w14:paraId="5C284BA7" w14:textId="77777777" w:rsidR="006A4529" w:rsidRPr="005F2C03" w:rsidRDefault="006A4529" w:rsidP="006A4529">
            <w:pPr>
              <w:jc w:val="center"/>
              <w:rPr>
                <w:rFonts w:cs="Arial"/>
                <w:lang w:eastAsia="ar-SA"/>
              </w:rPr>
            </w:pPr>
            <w:r w:rsidRPr="005F2C03">
              <w:rPr>
                <w:rFonts w:cs="Arial"/>
                <w:lang w:eastAsia="ar-SA"/>
              </w:rPr>
              <w:lastRenderedPageBreak/>
              <w:t>GRUPO 5</w:t>
            </w:r>
          </w:p>
        </w:tc>
        <w:tc>
          <w:tcPr>
            <w:tcW w:w="6118" w:type="dxa"/>
            <w:tcBorders>
              <w:left w:val="single" w:sz="4" w:space="0" w:color="000000"/>
              <w:bottom w:val="single" w:sz="4" w:space="0" w:color="000000"/>
              <w:right w:val="single" w:sz="4" w:space="0" w:color="000000"/>
            </w:tcBorders>
          </w:tcPr>
          <w:p w14:paraId="10EB1A31" w14:textId="77777777" w:rsidR="006A4529" w:rsidRPr="005F2C03" w:rsidRDefault="006A4529" w:rsidP="006A4529">
            <w:pPr>
              <w:rPr>
                <w:rFonts w:cs="Arial"/>
                <w:lang w:eastAsia="ar-SA"/>
              </w:rPr>
            </w:pPr>
            <w:r w:rsidRPr="005F2C03">
              <w:rPr>
                <w:rFonts w:cs="Arial"/>
                <w:lang w:eastAsia="ar-SA"/>
              </w:rPr>
              <w:t>SOAT</w:t>
            </w:r>
          </w:p>
        </w:tc>
      </w:tr>
    </w:tbl>
    <w:p w14:paraId="0648C4A1" w14:textId="77777777" w:rsidR="006C1C8F" w:rsidRPr="005F2C03" w:rsidRDefault="006C1C8F" w:rsidP="006C1C8F">
      <w:pPr>
        <w:shd w:val="clear" w:color="auto" w:fill="FFFFFF" w:themeFill="background1"/>
        <w:ind w:right="51"/>
        <w:contextualSpacing/>
        <w:jc w:val="both"/>
        <w:rPr>
          <w:rFonts w:cs="Arial"/>
        </w:rPr>
      </w:pPr>
    </w:p>
    <w:p w14:paraId="3401C6B6" w14:textId="11AB2F61" w:rsidR="006C1C8F" w:rsidRPr="005F2C03" w:rsidRDefault="006C1C8F" w:rsidP="006C1C8F">
      <w:pPr>
        <w:shd w:val="clear" w:color="auto" w:fill="FFFFFF" w:themeFill="background1"/>
        <w:ind w:right="51"/>
        <w:contextualSpacing/>
        <w:jc w:val="both"/>
        <w:rPr>
          <w:rFonts w:cs="Arial"/>
        </w:rPr>
      </w:pPr>
      <w:r w:rsidRPr="005F2C03">
        <w:rPr>
          <w:rFonts w:cs="Arial"/>
          <w:lang w:eastAsia="ar-SA"/>
        </w:rPr>
        <w:t xml:space="preserve">De conformidad con lo anteriormente descrito, se ha considerado establecer las siguientes </w:t>
      </w:r>
      <w:r w:rsidRPr="005F2C03">
        <w:rPr>
          <w:rFonts w:cs="Arial"/>
        </w:rPr>
        <w:t>notas vinculantes, así:</w:t>
      </w:r>
    </w:p>
    <w:p w14:paraId="6D70FFAE" w14:textId="43311513" w:rsidR="006C1C8F" w:rsidRPr="005F2C03" w:rsidRDefault="006C1C8F" w:rsidP="002C43B5">
      <w:pPr>
        <w:jc w:val="both"/>
        <w:rPr>
          <w:rFonts w:cs="Arial"/>
          <w:b/>
          <w:bCs/>
          <w:lang w:eastAsia="ar-SA"/>
        </w:rPr>
      </w:pPr>
    </w:p>
    <w:p w14:paraId="2C8A5D7C" w14:textId="6F9339EA" w:rsidR="006C1C8F" w:rsidRPr="005F2C03" w:rsidRDefault="006C1C8F" w:rsidP="006C1C8F">
      <w:pPr>
        <w:ind w:right="51"/>
        <w:contextualSpacing/>
        <w:jc w:val="both"/>
        <w:rPr>
          <w:rFonts w:cs="Arial"/>
        </w:rPr>
      </w:pPr>
      <w:r w:rsidRPr="005F2C03">
        <w:rPr>
          <w:rFonts w:cs="Arial"/>
          <w:b/>
          <w:bCs/>
          <w:lang w:eastAsia="ar-SA"/>
        </w:rPr>
        <w:t>NOTA 1:</w:t>
      </w:r>
      <w:r w:rsidRPr="005F2C03">
        <w:t xml:space="preserve"> </w:t>
      </w:r>
      <w:r w:rsidRPr="005F2C03">
        <w:rPr>
          <w:rFonts w:cs="Arial"/>
        </w:rPr>
        <w:t xml:space="preserve">Los proponentes que en forma individual presenten oferta para el Grupo No. 1 y que hayan comercializado durante el último año, el producto de </w:t>
      </w:r>
      <w:r w:rsidR="007E2627" w:rsidRPr="005F2C03">
        <w:rPr>
          <w:rFonts w:cs="Arial"/>
        </w:rPr>
        <w:t>Responsabilidad Civil Servidores Públicos</w:t>
      </w:r>
      <w:r w:rsidRPr="005F2C03">
        <w:rPr>
          <w:rFonts w:cs="Arial"/>
        </w:rPr>
        <w:t xml:space="preserve">, DEBEN presentar oferta para el Grupo No. </w:t>
      </w:r>
      <w:r w:rsidR="007E2627" w:rsidRPr="005F2C03">
        <w:rPr>
          <w:rFonts w:cs="Arial"/>
        </w:rPr>
        <w:t>2</w:t>
      </w:r>
      <w:r w:rsidRPr="005F2C03">
        <w:rPr>
          <w:rFonts w:cs="Arial"/>
        </w:rPr>
        <w:t xml:space="preserve"> </w:t>
      </w:r>
      <w:r w:rsidR="007E2627" w:rsidRPr="005F2C03">
        <w:rPr>
          <w:rFonts w:cs="Arial"/>
          <w:lang w:eastAsia="ar-SA"/>
        </w:rPr>
        <w:t xml:space="preserve">Seguro </w:t>
      </w:r>
      <w:r w:rsidRPr="005F2C03">
        <w:rPr>
          <w:rFonts w:cs="Arial"/>
        </w:rPr>
        <w:t xml:space="preserve">de </w:t>
      </w:r>
      <w:r w:rsidR="007E2627" w:rsidRPr="005F2C03">
        <w:rPr>
          <w:rFonts w:cs="Arial"/>
        </w:rPr>
        <w:t>Responsabilidad Civil Servidores Públicos</w:t>
      </w:r>
      <w:r w:rsidRPr="005F2C03">
        <w:rPr>
          <w:rFonts w:cs="Arial"/>
        </w:rPr>
        <w:t xml:space="preserve">. </w:t>
      </w:r>
      <w:r w:rsidR="007E2627" w:rsidRPr="005F2C03">
        <w:rPr>
          <w:rFonts w:cs="Arial"/>
        </w:rPr>
        <w:t xml:space="preserve">En caso de no haber comercializado el producto durante el último año, la acreditación de </w:t>
      </w:r>
      <w:r w:rsidRPr="005F2C03">
        <w:rPr>
          <w:rFonts w:cs="Arial"/>
        </w:rPr>
        <w:t xml:space="preserve">no comercialización del producto se deberá realizar mediante certificación </w:t>
      </w:r>
      <w:r w:rsidR="007E2627" w:rsidRPr="005F2C03">
        <w:rPr>
          <w:rFonts w:cs="Arial"/>
        </w:rPr>
        <w:t xml:space="preserve">jurada </w:t>
      </w:r>
      <w:r w:rsidRPr="005F2C03">
        <w:rPr>
          <w:rFonts w:cs="Arial"/>
        </w:rPr>
        <w:t xml:space="preserve">firmada por el Representante Legal del </w:t>
      </w:r>
      <w:r w:rsidR="007E2627" w:rsidRPr="005F2C03">
        <w:rPr>
          <w:rFonts w:cs="Arial"/>
        </w:rPr>
        <w:t>OFERENTE.</w:t>
      </w:r>
    </w:p>
    <w:p w14:paraId="00C3FDE8" w14:textId="77777777" w:rsidR="006C1C8F" w:rsidRPr="005F2C03" w:rsidRDefault="006C1C8F" w:rsidP="006C1C8F">
      <w:pPr>
        <w:ind w:right="51"/>
        <w:contextualSpacing/>
        <w:jc w:val="both"/>
        <w:rPr>
          <w:rFonts w:cs="Arial"/>
        </w:rPr>
      </w:pPr>
    </w:p>
    <w:p w14:paraId="492E77DB" w14:textId="128CB219" w:rsidR="007E2627" w:rsidRPr="005F2C03" w:rsidRDefault="007E2627" w:rsidP="007E2627">
      <w:pPr>
        <w:ind w:right="51"/>
        <w:contextualSpacing/>
        <w:jc w:val="both"/>
        <w:rPr>
          <w:rFonts w:cs="Arial"/>
        </w:rPr>
      </w:pPr>
      <w:r w:rsidRPr="005F2C03">
        <w:rPr>
          <w:rFonts w:cs="Arial"/>
          <w:b/>
          <w:bCs/>
          <w:lang w:eastAsia="ar-SA"/>
        </w:rPr>
        <w:t>NOTA 2:</w:t>
      </w:r>
      <w:r w:rsidRPr="005F2C03">
        <w:t xml:space="preserve"> </w:t>
      </w:r>
      <w:r w:rsidR="006C1C8F" w:rsidRPr="005F2C03">
        <w:rPr>
          <w:rFonts w:cs="Arial"/>
        </w:rPr>
        <w:t xml:space="preserve">Los proponentes que en forma plural (consorcio o unión temporal) presenten oferta para el Grupo No. 1 y que alguno(s) de sus integrantes haya comercializado durante el último año el producto de </w:t>
      </w:r>
      <w:r w:rsidRPr="005F2C03">
        <w:rPr>
          <w:rFonts w:cs="Arial"/>
        </w:rPr>
        <w:t>Responsabilidad Civil Servidores Públicos</w:t>
      </w:r>
      <w:r w:rsidR="006C1C8F" w:rsidRPr="005F2C03">
        <w:rPr>
          <w:rFonts w:cs="Arial"/>
        </w:rPr>
        <w:t xml:space="preserve">, DEBEN presentar oferta para el Grupo No. </w:t>
      </w:r>
      <w:r w:rsidRPr="005F2C03">
        <w:rPr>
          <w:rFonts w:cs="Arial"/>
        </w:rPr>
        <w:t>2</w:t>
      </w:r>
      <w:r w:rsidR="006C1C8F" w:rsidRPr="005F2C03">
        <w:rPr>
          <w:rFonts w:cs="Arial"/>
        </w:rPr>
        <w:t xml:space="preserve"> </w:t>
      </w:r>
      <w:r w:rsidRPr="005F2C03">
        <w:rPr>
          <w:rFonts w:cs="Arial"/>
          <w:lang w:eastAsia="ar-SA"/>
        </w:rPr>
        <w:t xml:space="preserve">Seguro </w:t>
      </w:r>
      <w:r w:rsidR="006C1C8F" w:rsidRPr="005F2C03">
        <w:rPr>
          <w:rFonts w:cs="Arial"/>
        </w:rPr>
        <w:t xml:space="preserve">de </w:t>
      </w:r>
      <w:r w:rsidRPr="005F2C03">
        <w:rPr>
          <w:rFonts w:cs="Arial"/>
        </w:rPr>
        <w:t>Responsabilidad Civil Servidores Públicos</w:t>
      </w:r>
      <w:r w:rsidR="006C1C8F" w:rsidRPr="005F2C03">
        <w:rPr>
          <w:rFonts w:cs="Arial"/>
        </w:rPr>
        <w:t xml:space="preserve">. </w:t>
      </w:r>
    </w:p>
    <w:p w14:paraId="50AA8EDC" w14:textId="77777777" w:rsidR="007E2627" w:rsidRPr="005F2C03" w:rsidRDefault="007E2627" w:rsidP="007E2627">
      <w:pPr>
        <w:ind w:right="51"/>
        <w:contextualSpacing/>
        <w:jc w:val="both"/>
        <w:rPr>
          <w:rFonts w:cs="Arial"/>
        </w:rPr>
      </w:pPr>
    </w:p>
    <w:p w14:paraId="53311904" w14:textId="61BA1048" w:rsidR="006C1C8F" w:rsidRPr="005F2C03" w:rsidRDefault="006C1C8F" w:rsidP="007E2627">
      <w:pPr>
        <w:ind w:right="51"/>
        <w:contextualSpacing/>
        <w:jc w:val="both"/>
        <w:rPr>
          <w:rFonts w:cs="Arial"/>
        </w:rPr>
      </w:pPr>
      <w:r w:rsidRPr="005F2C03">
        <w:rPr>
          <w:rFonts w:cs="Arial"/>
        </w:rPr>
        <w:t xml:space="preserve">En este caso la propuesta para el grupo No. </w:t>
      </w:r>
      <w:r w:rsidR="007E2627" w:rsidRPr="005F2C03">
        <w:rPr>
          <w:rFonts w:cs="Arial"/>
        </w:rPr>
        <w:t>2</w:t>
      </w:r>
      <w:r w:rsidRPr="005F2C03">
        <w:rPr>
          <w:rFonts w:cs="Arial"/>
        </w:rPr>
        <w:t xml:space="preserve"> puede presentarse: (i) a través del mismo proponente plural, o (</w:t>
      </w:r>
      <w:proofErr w:type="spellStart"/>
      <w:r w:rsidRPr="005F2C03">
        <w:rPr>
          <w:rFonts w:cs="Arial"/>
        </w:rPr>
        <w:t>ii</w:t>
      </w:r>
      <w:proofErr w:type="spellEnd"/>
      <w:r w:rsidRPr="005F2C03">
        <w:rPr>
          <w:rFonts w:cs="Arial"/>
        </w:rPr>
        <w:t>) a través de un proponente plural diferente, siempre y cuando participe al menos uno de los integrantes que conformaron el proponente plural para el grupo No. 1 o (</w:t>
      </w:r>
      <w:proofErr w:type="spellStart"/>
      <w:r w:rsidRPr="005F2C03">
        <w:rPr>
          <w:rFonts w:cs="Arial"/>
        </w:rPr>
        <w:t>iii</w:t>
      </w:r>
      <w:proofErr w:type="spellEnd"/>
      <w:r w:rsidRPr="005F2C03">
        <w:rPr>
          <w:rFonts w:cs="Arial"/>
        </w:rPr>
        <w:t xml:space="preserve">) como proponente singular siempre y cuando éste corresponda a uno de los integrantes del proponente plural que presenta la oferta para el grupo No. 1. </w:t>
      </w:r>
      <w:r w:rsidR="007E2627" w:rsidRPr="005F2C03">
        <w:rPr>
          <w:rFonts w:cs="Arial"/>
        </w:rPr>
        <w:t>En caso de no haber comercializado el producto durante el último año, la acreditación de no comercialización del producto se deberá realizar mediante certificación jurada firmada por el Representante Legal del OFERENTE.</w:t>
      </w:r>
    </w:p>
    <w:p w14:paraId="34F2451B" w14:textId="1D99866C" w:rsidR="006C1C8F" w:rsidRPr="005F2C03" w:rsidRDefault="006C1C8F" w:rsidP="002C43B5">
      <w:pPr>
        <w:jc w:val="both"/>
      </w:pPr>
    </w:p>
    <w:p w14:paraId="50CA81E2" w14:textId="1A72C902" w:rsidR="007E2627" w:rsidRPr="005F2C03" w:rsidRDefault="007E2627" w:rsidP="007E2627">
      <w:pPr>
        <w:ind w:right="51"/>
        <w:contextualSpacing/>
        <w:jc w:val="both"/>
        <w:rPr>
          <w:rFonts w:cs="Arial"/>
        </w:rPr>
      </w:pPr>
      <w:r w:rsidRPr="005F2C03">
        <w:rPr>
          <w:rFonts w:cs="Arial"/>
          <w:b/>
          <w:bCs/>
          <w:lang w:eastAsia="ar-SA"/>
        </w:rPr>
        <w:t xml:space="preserve">NOTA 3: </w:t>
      </w:r>
      <w:r w:rsidR="006C1C8F" w:rsidRPr="005F2C03">
        <w:rPr>
          <w:rFonts w:cs="Arial"/>
          <w:lang w:eastAsia="ar-SA"/>
        </w:rPr>
        <w:t xml:space="preserve">Los proponentes que en forma individual presenten oferta para el Grupo No. 1 </w:t>
      </w:r>
      <w:r w:rsidRPr="005F2C03">
        <w:rPr>
          <w:rFonts w:cs="Arial"/>
        </w:rPr>
        <w:t xml:space="preserve">y que hayan comercializado durante el último año, el producto de </w:t>
      </w:r>
      <w:r w:rsidR="006C1C8F" w:rsidRPr="005F2C03">
        <w:rPr>
          <w:rFonts w:cs="Arial"/>
          <w:lang w:eastAsia="ar-SA"/>
        </w:rPr>
        <w:t xml:space="preserve">Seguro Obligatorio por Accidentes de Tránsito – SOAT, DEBEN presentar oferta para el Grupo No. </w:t>
      </w:r>
      <w:r w:rsidRPr="005F2C03">
        <w:rPr>
          <w:rFonts w:cs="Arial"/>
          <w:lang w:eastAsia="ar-SA"/>
        </w:rPr>
        <w:t>5</w:t>
      </w:r>
      <w:r w:rsidR="006C1C8F" w:rsidRPr="005F2C03">
        <w:rPr>
          <w:rFonts w:cs="Arial"/>
          <w:lang w:eastAsia="ar-SA"/>
        </w:rPr>
        <w:t xml:space="preserve"> Seguro Obligatorio por Accidentes de Tránsito – SOAT.</w:t>
      </w:r>
      <w:r w:rsidRPr="005F2C03">
        <w:rPr>
          <w:rFonts w:cs="Arial"/>
        </w:rPr>
        <w:t xml:space="preserve"> En caso de no haber comercializado el producto durante el último año, la acreditación de no comercialización del producto se deberá realizar mediante certificación jurada firmada por el Representante Legal del OFERENTE.</w:t>
      </w:r>
    </w:p>
    <w:p w14:paraId="2842BB57" w14:textId="03E59ADD" w:rsidR="00465DFB" w:rsidRPr="005F2C03" w:rsidRDefault="00465DFB" w:rsidP="002C43B5">
      <w:pPr>
        <w:jc w:val="both"/>
        <w:rPr>
          <w:rFonts w:cs="Arial"/>
          <w:lang w:eastAsia="ar-SA"/>
        </w:rPr>
      </w:pPr>
    </w:p>
    <w:p w14:paraId="07C5636B" w14:textId="77777777" w:rsidR="007E2627" w:rsidRPr="005F2C03" w:rsidRDefault="007E2627" w:rsidP="006C1C8F">
      <w:pPr>
        <w:ind w:right="51"/>
        <w:contextualSpacing/>
        <w:jc w:val="both"/>
        <w:rPr>
          <w:rFonts w:cs="Arial"/>
        </w:rPr>
      </w:pPr>
      <w:r w:rsidRPr="005F2C03">
        <w:rPr>
          <w:rFonts w:cs="Arial"/>
          <w:b/>
          <w:bCs/>
          <w:lang w:eastAsia="ar-SA"/>
        </w:rPr>
        <w:t xml:space="preserve">NOTA 4: </w:t>
      </w:r>
      <w:r w:rsidR="006C1C8F" w:rsidRPr="005F2C03">
        <w:rPr>
          <w:rFonts w:cs="Arial"/>
        </w:rPr>
        <w:t xml:space="preserve">Los proponentes que en forma plural (consorcio o unión temporal) presenten oferta para el Grupo No. 1 y que alguno(s) de sus integrantes </w:t>
      </w:r>
      <w:r w:rsidRPr="005F2C03">
        <w:rPr>
          <w:rFonts w:cs="Arial"/>
        </w:rPr>
        <w:t>haya comercializado</w:t>
      </w:r>
      <w:r w:rsidR="006C1C8F" w:rsidRPr="005F2C03">
        <w:rPr>
          <w:rFonts w:cs="Arial"/>
        </w:rPr>
        <w:t xml:space="preserve"> el ramo de Seguro Obligatorio por Accidentes de Tránsito – SOAT, DEBEN presentar oferta para el Grupo No. </w:t>
      </w:r>
      <w:r w:rsidRPr="005F2C03">
        <w:rPr>
          <w:rFonts w:cs="Arial"/>
        </w:rPr>
        <w:t>5</w:t>
      </w:r>
      <w:r w:rsidR="006C1C8F" w:rsidRPr="005F2C03">
        <w:rPr>
          <w:rFonts w:cs="Arial"/>
        </w:rPr>
        <w:t xml:space="preserve"> Seguro Obligatorio por Accidentes de Tránsito – SOAT. </w:t>
      </w:r>
    </w:p>
    <w:p w14:paraId="6C360FF7" w14:textId="77777777" w:rsidR="007E2627" w:rsidRPr="005F2C03" w:rsidRDefault="007E2627" w:rsidP="006C1C8F">
      <w:pPr>
        <w:ind w:right="51"/>
        <w:contextualSpacing/>
        <w:jc w:val="both"/>
        <w:rPr>
          <w:rFonts w:cs="Arial"/>
        </w:rPr>
      </w:pPr>
    </w:p>
    <w:p w14:paraId="1133404E" w14:textId="06AA6EB7" w:rsidR="006C1C8F" w:rsidRPr="005F2C03" w:rsidRDefault="006C1C8F" w:rsidP="007E2627">
      <w:pPr>
        <w:ind w:right="51"/>
        <w:contextualSpacing/>
        <w:jc w:val="both"/>
        <w:rPr>
          <w:rFonts w:cs="Arial"/>
        </w:rPr>
      </w:pPr>
      <w:r w:rsidRPr="005F2C03">
        <w:rPr>
          <w:rFonts w:cs="Arial"/>
        </w:rPr>
        <w:t xml:space="preserve">En este caso la propuesta para el grupo No. </w:t>
      </w:r>
      <w:r w:rsidR="007E2627" w:rsidRPr="005F2C03">
        <w:rPr>
          <w:rFonts w:cs="Arial"/>
        </w:rPr>
        <w:t>5</w:t>
      </w:r>
      <w:r w:rsidRPr="005F2C03">
        <w:rPr>
          <w:rFonts w:cs="Arial"/>
        </w:rPr>
        <w:t xml:space="preserve"> puede presentarse: (i) a través del mismo proponente plural, o (</w:t>
      </w:r>
      <w:proofErr w:type="spellStart"/>
      <w:r w:rsidRPr="005F2C03">
        <w:rPr>
          <w:rFonts w:cs="Arial"/>
        </w:rPr>
        <w:t>ii</w:t>
      </w:r>
      <w:proofErr w:type="spellEnd"/>
      <w:r w:rsidRPr="005F2C03">
        <w:rPr>
          <w:rFonts w:cs="Arial"/>
        </w:rPr>
        <w:t>) a través de un proponente plural diferente, siempre y cuando participe al menos uno de los integrantes que conformaron el proponente plural para el grupo No. 1 o (</w:t>
      </w:r>
      <w:proofErr w:type="spellStart"/>
      <w:r w:rsidRPr="005F2C03">
        <w:rPr>
          <w:rFonts w:cs="Arial"/>
        </w:rPr>
        <w:t>iii</w:t>
      </w:r>
      <w:proofErr w:type="spellEnd"/>
      <w:r w:rsidRPr="005F2C03">
        <w:rPr>
          <w:rFonts w:cs="Arial"/>
        </w:rPr>
        <w:t xml:space="preserve">) como proponente singular siempre y cuando éste corresponda a uno de los integrantes del proponente plural que presenta la oferta para el grupo No. </w:t>
      </w:r>
      <w:r w:rsidR="007E2627" w:rsidRPr="005F2C03">
        <w:rPr>
          <w:rFonts w:cs="Arial"/>
        </w:rPr>
        <w:t>1. En caso de no haber comercializado el producto durante el último año, la acreditación de no comercialización del producto se deberá realizar mediante certificación jurada firmada por el Representante Legal del OFERENTE.</w:t>
      </w:r>
      <w:r w:rsidRPr="005F2C03">
        <w:rPr>
          <w:rFonts w:cs="Arial"/>
        </w:rPr>
        <w:tab/>
      </w:r>
    </w:p>
    <w:p w14:paraId="68D63345" w14:textId="25F83F01" w:rsidR="006C1C8F" w:rsidRPr="005F2C03" w:rsidRDefault="007E2627" w:rsidP="006C1C8F">
      <w:pPr>
        <w:shd w:val="clear" w:color="auto" w:fill="FFFFFF" w:themeFill="background1"/>
        <w:ind w:right="51"/>
        <w:contextualSpacing/>
        <w:jc w:val="both"/>
        <w:rPr>
          <w:rFonts w:cs="Arial"/>
        </w:rPr>
      </w:pPr>
      <w:r w:rsidRPr="005F2C03">
        <w:rPr>
          <w:rFonts w:cs="Arial"/>
        </w:rPr>
        <w:lastRenderedPageBreak/>
        <w:t>Las anteriores disposiciones se encuentran fundamentadas en el ánimo</w:t>
      </w:r>
      <w:r w:rsidR="006C1C8F" w:rsidRPr="005F2C03">
        <w:rPr>
          <w:rFonts w:cs="Arial"/>
        </w:rPr>
        <w:t xml:space="preserve"> de promover la participación de ofertas competitivas y dispersar el riesgo de declaratoria de desierto</w:t>
      </w:r>
      <w:r w:rsidRPr="005F2C03">
        <w:rPr>
          <w:rFonts w:cs="Arial"/>
        </w:rPr>
        <w:t xml:space="preserve"> de algún grupo</w:t>
      </w:r>
      <w:r w:rsidR="006C1C8F" w:rsidRPr="005F2C03">
        <w:rPr>
          <w:rFonts w:cs="Arial"/>
        </w:rPr>
        <w:t>, considerando el apetito de riesgo de cada compañía de seguros por cada ramo o seguro requerido.</w:t>
      </w:r>
    </w:p>
    <w:p w14:paraId="47FD93F9" w14:textId="3FF87A61" w:rsidR="00E30A88" w:rsidRDefault="0053405F" w:rsidP="002C43B5">
      <w:pPr>
        <w:jc w:val="both"/>
        <w:rPr>
          <w:rFonts w:cs="Arial"/>
          <w:lang w:eastAsia="ar-SA"/>
        </w:rPr>
      </w:pPr>
      <w:r w:rsidRPr="005F2C03">
        <w:rPr>
          <w:rFonts w:cs="Arial"/>
          <w:lang w:eastAsia="ar-SA"/>
        </w:rPr>
        <w:t xml:space="preserve"> </w:t>
      </w:r>
    </w:p>
    <w:p w14:paraId="7929126D" w14:textId="32A11A49" w:rsidR="00C4639A" w:rsidRPr="005F2C03" w:rsidRDefault="00C4639A" w:rsidP="00C4639A">
      <w:pPr>
        <w:pStyle w:val="NormalWeb"/>
        <w:shd w:val="clear" w:color="auto" w:fill="FFFFFF"/>
        <w:jc w:val="center"/>
        <w:rPr>
          <w:rFonts w:ascii="Arial Narrow" w:eastAsia="Arial Unicode MS" w:hAnsi="Arial Narrow" w:cs="Arial"/>
          <w:b/>
          <w:bCs/>
          <w:i w:val="0"/>
          <w:szCs w:val="22"/>
        </w:rPr>
      </w:pPr>
      <w:r w:rsidRPr="005F2C03">
        <w:rPr>
          <w:rFonts w:ascii="Arial Narrow" w:eastAsia="Arial Unicode MS" w:hAnsi="Arial Narrow" w:cs="Arial"/>
          <w:b/>
          <w:bCs/>
          <w:i w:val="0"/>
          <w:szCs w:val="22"/>
        </w:rPr>
        <w:t>CAPÍTULO II</w:t>
      </w:r>
    </w:p>
    <w:p w14:paraId="253E9C45" w14:textId="4E1ECBB5" w:rsidR="00F9045A" w:rsidRPr="005F2C03" w:rsidRDefault="00F9045A" w:rsidP="00C4639A">
      <w:pPr>
        <w:pStyle w:val="Ttulo1"/>
        <w:jc w:val="center"/>
        <w:rPr>
          <w:rFonts w:cs="Arial"/>
          <w:b w:val="0"/>
          <w:szCs w:val="22"/>
          <w:lang w:eastAsia="ar-SA"/>
        </w:rPr>
      </w:pPr>
      <w:r w:rsidRPr="005F2C03">
        <w:rPr>
          <w:rFonts w:cs="Arial"/>
          <w:szCs w:val="22"/>
          <w:lang w:eastAsia="ar-SA"/>
        </w:rPr>
        <w:t>AN</w:t>
      </w:r>
      <w:r w:rsidR="00DF3999" w:rsidRPr="005F2C03">
        <w:rPr>
          <w:rFonts w:cs="Arial"/>
          <w:szCs w:val="22"/>
          <w:lang w:eastAsia="ar-SA"/>
        </w:rPr>
        <w:t>Á</w:t>
      </w:r>
      <w:r w:rsidRPr="005F2C03">
        <w:rPr>
          <w:rFonts w:cs="Arial"/>
          <w:szCs w:val="22"/>
          <w:lang w:eastAsia="ar-SA"/>
        </w:rPr>
        <w:t>LISIS T</w:t>
      </w:r>
      <w:r w:rsidR="00DF3999" w:rsidRPr="005F2C03">
        <w:rPr>
          <w:rFonts w:cs="Arial"/>
          <w:szCs w:val="22"/>
          <w:lang w:eastAsia="ar-SA"/>
        </w:rPr>
        <w:t>É</w:t>
      </w:r>
      <w:r w:rsidRPr="005F2C03">
        <w:rPr>
          <w:rFonts w:cs="Arial"/>
          <w:szCs w:val="22"/>
          <w:lang w:eastAsia="ar-SA"/>
        </w:rPr>
        <w:t>CNICO Y ECON</w:t>
      </w:r>
      <w:r w:rsidR="00DF3999" w:rsidRPr="005F2C03">
        <w:rPr>
          <w:rFonts w:cs="Arial"/>
          <w:szCs w:val="22"/>
          <w:lang w:eastAsia="ar-SA"/>
        </w:rPr>
        <w:t>Ó</w:t>
      </w:r>
      <w:r w:rsidRPr="005F2C03">
        <w:rPr>
          <w:rFonts w:cs="Arial"/>
          <w:szCs w:val="22"/>
          <w:lang w:eastAsia="ar-SA"/>
        </w:rPr>
        <w:t>MICO DEL SECTOR</w:t>
      </w:r>
    </w:p>
    <w:p w14:paraId="4E99B911" w14:textId="77777777" w:rsidR="00F9045A" w:rsidRPr="005F2C03" w:rsidRDefault="00F9045A" w:rsidP="002C43B5">
      <w:pPr>
        <w:jc w:val="both"/>
        <w:rPr>
          <w:rFonts w:cs="Arial"/>
          <w:b/>
          <w:lang w:eastAsia="ar-SA"/>
        </w:rPr>
      </w:pPr>
    </w:p>
    <w:p w14:paraId="63D4EA1D" w14:textId="33C42D4E" w:rsidR="00F9045A" w:rsidRPr="005F2C03" w:rsidRDefault="00F9045A" w:rsidP="002C43B5">
      <w:pPr>
        <w:autoSpaceDE w:val="0"/>
        <w:autoSpaceDN w:val="0"/>
        <w:adjustRightInd w:val="0"/>
        <w:jc w:val="both"/>
        <w:rPr>
          <w:rFonts w:eastAsiaTheme="minorEastAsia" w:cs="Arial"/>
        </w:rPr>
      </w:pPr>
      <w:r w:rsidRPr="005F2C03">
        <w:rPr>
          <w:rFonts w:eastAsiaTheme="minorEastAsia" w:cs="Arial"/>
        </w:rPr>
        <w:t>En la determinación del presupuesto estimado para la presente contratación cuyo objeto es seleccionar una o varias compañías de seguros legalmente establecidas en el país para funcionar, autorizadas por la Superintendencia Financiera de Colombia, con las cuales contratará la adquisición de las Pólizas de Seguro requeridas para amparar y proteger los activos e intereses patrimoniales, los bienes muebles e inmuebles de propiedad de la Entidad y de aquellos por los que sea o llegare a ser legalmente responsable, entre otros se han tenido en cuenta los siguientes aspectos:</w:t>
      </w:r>
    </w:p>
    <w:p w14:paraId="080ADDEF" w14:textId="23F0D013" w:rsidR="005F73F4" w:rsidRPr="005F2C03" w:rsidRDefault="005F73F4" w:rsidP="002C43B5">
      <w:pPr>
        <w:autoSpaceDE w:val="0"/>
        <w:autoSpaceDN w:val="0"/>
        <w:adjustRightInd w:val="0"/>
        <w:jc w:val="both"/>
        <w:rPr>
          <w:rFonts w:eastAsiaTheme="minorEastAsia" w:cs="Arial"/>
        </w:rPr>
      </w:pPr>
    </w:p>
    <w:p w14:paraId="272FB2FD" w14:textId="4237A96E" w:rsidR="00F9045A" w:rsidRPr="005F2C03" w:rsidRDefault="00F9045A" w:rsidP="00C4639A">
      <w:pPr>
        <w:pStyle w:val="Ttulo2"/>
        <w:rPr>
          <w:szCs w:val="22"/>
          <w:lang w:eastAsia="ar-SA"/>
        </w:rPr>
      </w:pPr>
      <w:bookmarkStart w:id="2" w:name="_Toc92271528"/>
      <w:bookmarkStart w:id="3" w:name="_Toc93473440"/>
      <w:r w:rsidRPr="005F2C03">
        <w:rPr>
          <w:szCs w:val="22"/>
          <w:lang w:eastAsia="ar-SA"/>
        </w:rPr>
        <w:t>ANÁLISIS TÉCNICO GENERAL</w:t>
      </w:r>
      <w:bookmarkEnd w:id="2"/>
      <w:bookmarkEnd w:id="3"/>
      <w:r w:rsidRPr="005F2C03">
        <w:rPr>
          <w:szCs w:val="22"/>
          <w:lang w:eastAsia="ar-SA"/>
        </w:rPr>
        <w:t xml:space="preserve"> </w:t>
      </w:r>
    </w:p>
    <w:p w14:paraId="082F1CC7" w14:textId="77777777" w:rsidR="005F73F4" w:rsidRPr="005F2C03" w:rsidRDefault="005F73F4" w:rsidP="002C43B5">
      <w:pPr>
        <w:autoSpaceDE w:val="0"/>
        <w:autoSpaceDN w:val="0"/>
        <w:adjustRightInd w:val="0"/>
        <w:jc w:val="both"/>
        <w:rPr>
          <w:rFonts w:eastAsiaTheme="minorEastAsia" w:cs="Arial"/>
        </w:rPr>
      </w:pPr>
    </w:p>
    <w:p w14:paraId="4ACB9A10" w14:textId="22865210" w:rsidR="00F9045A" w:rsidRPr="005F2C03" w:rsidRDefault="00F9045A" w:rsidP="002C43B5">
      <w:pPr>
        <w:autoSpaceDE w:val="0"/>
        <w:autoSpaceDN w:val="0"/>
        <w:adjustRightInd w:val="0"/>
        <w:jc w:val="both"/>
        <w:rPr>
          <w:rFonts w:eastAsiaTheme="minorEastAsia" w:cs="Arial"/>
        </w:rPr>
      </w:pPr>
      <w:r w:rsidRPr="005F2C03">
        <w:rPr>
          <w:rFonts w:eastAsiaTheme="minorEastAsia" w:cs="Arial"/>
        </w:rPr>
        <w:t xml:space="preserve">El aspecto primordial de la actividad aseguradora se fundamenta en el manejo del riesgo, los gastos asociados al mismo y el pago de siniestros, lo cual resuelve la suscripción del seguro.  El resultado final determina el resultado técnico.  El segundo aspecto corresponde a la actividad financiera, derivada del manejo del portafolio que desarrollan las aseguradoras. La gestión de las actividades técnica y financiera origina el resultado del sector asegurador. </w:t>
      </w:r>
    </w:p>
    <w:p w14:paraId="16070469" w14:textId="77777777" w:rsidR="00210E9F" w:rsidRPr="005F2C03" w:rsidRDefault="00210E9F" w:rsidP="002C43B5">
      <w:pPr>
        <w:autoSpaceDE w:val="0"/>
        <w:autoSpaceDN w:val="0"/>
        <w:adjustRightInd w:val="0"/>
        <w:jc w:val="both"/>
        <w:rPr>
          <w:rFonts w:eastAsiaTheme="minorEastAsia" w:cs="Arial"/>
        </w:rPr>
      </w:pPr>
    </w:p>
    <w:p w14:paraId="26EA7F10" w14:textId="6411196F" w:rsidR="00F9045A" w:rsidRPr="005F2C03" w:rsidRDefault="00F9045A" w:rsidP="002C43B5">
      <w:pPr>
        <w:autoSpaceDE w:val="0"/>
        <w:autoSpaceDN w:val="0"/>
        <w:adjustRightInd w:val="0"/>
        <w:jc w:val="both"/>
        <w:rPr>
          <w:rFonts w:eastAsiaTheme="minorEastAsia" w:cs="Arial"/>
        </w:rPr>
      </w:pPr>
      <w:r w:rsidRPr="005F2C03">
        <w:rPr>
          <w:rFonts w:eastAsiaTheme="minorEastAsia" w:cs="Arial"/>
        </w:rPr>
        <w:t>Para dar una mirada a los resultados de la industria aseguradora en Colombia, haremos remisión a los informes y estadísticas publicados por FASECOLDA agremiación de las Aseguradoras en el País, revisando algunas de las principales cifras al cierre del tercer trimestre de 202</w:t>
      </w:r>
      <w:r w:rsidR="007C76D0" w:rsidRPr="005F2C03">
        <w:rPr>
          <w:rFonts w:eastAsiaTheme="minorEastAsia" w:cs="Arial"/>
        </w:rPr>
        <w:t>2</w:t>
      </w:r>
      <w:r w:rsidRPr="005F2C03">
        <w:rPr>
          <w:rFonts w:eastAsiaTheme="minorEastAsia" w:cs="Arial"/>
        </w:rPr>
        <w:t>, teniendo en cuenta que a la fecha no existen cifras definitivas correspondientes al año 202</w:t>
      </w:r>
      <w:r w:rsidR="00E755A7" w:rsidRPr="005F2C03">
        <w:rPr>
          <w:rFonts w:eastAsiaTheme="minorEastAsia" w:cs="Arial"/>
        </w:rPr>
        <w:t>3</w:t>
      </w:r>
      <w:r w:rsidRPr="005F2C03">
        <w:rPr>
          <w:rFonts w:eastAsiaTheme="minorEastAsia" w:cs="Arial"/>
        </w:rPr>
        <w:t>.</w:t>
      </w:r>
    </w:p>
    <w:p w14:paraId="0485F7F6" w14:textId="77777777" w:rsidR="00210E9F" w:rsidRPr="005F2C03" w:rsidRDefault="00210E9F" w:rsidP="002C43B5">
      <w:pPr>
        <w:autoSpaceDE w:val="0"/>
        <w:autoSpaceDN w:val="0"/>
        <w:adjustRightInd w:val="0"/>
        <w:jc w:val="both"/>
        <w:rPr>
          <w:rFonts w:eastAsiaTheme="minorEastAsia" w:cs="Arial"/>
        </w:rPr>
      </w:pPr>
    </w:p>
    <w:p w14:paraId="1D4A27A0" w14:textId="3D80EAA4" w:rsidR="00F9045A" w:rsidRPr="005F2C03" w:rsidRDefault="00F9045A" w:rsidP="00C4639A">
      <w:pPr>
        <w:pStyle w:val="Ttulo2"/>
        <w:rPr>
          <w:rFonts w:cs="Arial"/>
          <w:szCs w:val="22"/>
          <w:lang w:eastAsia="ar-SA"/>
        </w:rPr>
      </w:pPr>
      <w:bookmarkStart w:id="4" w:name="_Toc92271529"/>
      <w:bookmarkStart w:id="5" w:name="_Toc93473441"/>
      <w:r w:rsidRPr="005F2C03">
        <w:rPr>
          <w:rFonts w:cs="Arial"/>
          <w:szCs w:val="22"/>
          <w:lang w:eastAsia="ar-SA"/>
        </w:rPr>
        <w:t>ANÁLISIS DEL SECTOR</w:t>
      </w:r>
      <w:bookmarkEnd w:id="4"/>
      <w:bookmarkEnd w:id="5"/>
    </w:p>
    <w:p w14:paraId="4E0F9260" w14:textId="77777777" w:rsidR="00794651" w:rsidRPr="005F2C03" w:rsidRDefault="00794651" w:rsidP="00794651">
      <w:pPr>
        <w:rPr>
          <w:lang w:eastAsia="ar-SA"/>
        </w:rPr>
      </w:pPr>
    </w:p>
    <w:p w14:paraId="39E1E575" w14:textId="77777777" w:rsidR="00794651" w:rsidRPr="005F2C03" w:rsidRDefault="00794651" w:rsidP="00794651">
      <w:pPr>
        <w:jc w:val="both"/>
        <w:rPr>
          <w:rFonts w:cs="Arial"/>
          <w:lang w:val="es-ES_tradnl" w:eastAsia="es-CO"/>
        </w:rPr>
      </w:pPr>
      <w:r w:rsidRPr="005F2C03">
        <w:rPr>
          <w:rFonts w:cs="Arial"/>
          <w:lang w:val="es-ES_tradnl" w:eastAsia="es-CO"/>
        </w:rPr>
        <w:t xml:space="preserve">El mercado reasegurador marca de alguna manera el derrotero del sector asegurador nacional e internacional, especialmente cuando se trata de productos o pólizas especializadas, como suelen ser, las de Responsabilidad Civil Servidores Públicos, de Infidelidad y Riesgos Financieros, de Aviación, entre otros, puesto que son los reaseguradores quienes finalmente asumen el riesgo y por tanto son los que establecen las condiciones técnicas de cobertura y precio. </w:t>
      </w:r>
    </w:p>
    <w:p w14:paraId="2A2C9046" w14:textId="77777777" w:rsidR="00794651" w:rsidRPr="005F2C03" w:rsidRDefault="00794651" w:rsidP="00794651">
      <w:pPr>
        <w:jc w:val="both"/>
        <w:rPr>
          <w:rFonts w:cs="Arial"/>
          <w:lang w:val="es-ES_tradnl" w:eastAsia="es-CO"/>
        </w:rPr>
      </w:pPr>
    </w:p>
    <w:p w14:paraId="0AA78DF2" w14:textId="77777777" w:rsidR="00794651" w:rsidRPr="005F2C03" w:rsidRDefault="00794651" w:rsidP="00794651">
      <w:pPr>
        <w:jc w:val="both"/>
        <w:rPr>
          <w:rFonts w:cs="Arial"/>
          <w:lang w:val="es-ES_tradnl" w:eastAsia="es-CO"/>
        </w:rPr>
      </w:pPr>
      <w:r w:rsidRPr="005F2C03">
        <w:rPr>
          <w:rFonts w:cs="Arial"/>
          <w:lang w:val="es-ES_tradnl" w:eastAsia="es-CO"/>
        </w:rPr>
        <w:t>A manera de ejemplo, podemos citar, que actualmente en razón de medidas de intervención gubernamentales y malos resultados técnicos de las aseguradoras en las pólizas de Responsabilidad Civil Servidores Públicos, el sector reasegurador no tiene interés alguno en respaldar al sector asegurador en la suscripción de este tipo de pólizas, lo que ha creado un clima de incertidumbre y ha elevado sustancialmente los costos de las primas, mientras que simultáneamente ha limitado notoriamente las coberturas, haciéndolas poco eficaces.</w:t>
      </w:r>
    </w:p>
    <w:p w14:paraId="58FD3F73" w14:textId="77777777" w:rsidR="00794651" w:rsidRPr="005F2C03" w:rsidRDefault="00794651" w:rsidP="00794651">
      <w:pPr>
        <w:rPr>
          <w:rFonts w:cs="Arial"/>
          <w:lang w:val="es-ES_tradnl" w:eastAsia="es-CO"/>
        </w:rPr>
      </w:pPr>
    </w:p>
    <w:p w14:paraId="06780402" w14:textId="77777777" w:rsidR="00794651" w:rsidRPr="005F2C03" w:rsidRDefault="00794651" w:rsidP="00794651">
      <w:pPr>
        <w:jc w:val="both"/>
        <w:rPr>
          <w:rFonts w:cs="Arial"/>
          <w:lang w:val="es-ES_tradnl" w:eastAsia="es-CO"/>
        </w:rPr>
      </w:pPr>
      <w:r w:rsidRPr="005F2C03">
        <w:rPr>
          <w:rFonts w:cs="Arial"/>
          <w:lang w:val="es-ES_tradnl" w:eastAsia="es-CO"/>
        </w:rPr>
        <w:lastRenderedPageBreak/>
        <w:t>En las pólizas que individualmente no tienen grandes valores, ni resultan complejas por su naturaleza, el reaseguro tiene menos influencia frente a las políticas y manejo que implementan las aseguradoras en su estructuración, mercadeo y manejo operativo, puesto que gran parte del riesgo es asumido por ellas mismas y solo una pequeña parte lo colocan en reaseguro. Entre este tipo de pólizas, se pueden citar, las pólizas de automóviles, incendio hogar, vida grupo, transporte de mercancías, entre otros.</w:t>
      </w:r>
    </w:p>
    <w:p w14:paraId="453E836A" w14:textId="77777777" w:rsidR="00794651" w:rsidRPr="005F2C03" w:rsidRDefault="00794651" w:rsidP="00794651">
      <w:pPr>
        <w:rPr>
          <w:rFonts w:cs="Arial"/>
          <w:lang w:val="es-ES_tradnl" w:eastAsia="es-CO"/>
        </w:rPr>
      </w:pPr>
    </w:p>
    <w:p w14:paraId="0A444650" w14:textId="77777777" w:rsidR="00794651" w:rsidRPr="005F2C03" w:rsidRDefault="00794651" w:rsidP="00794651">
      <w:pPr>
        <w:jc w:val="both"/>
        <w:rPr>
          <w:rFonts w:cs="Arial"/>
          <w:lang w:val="es-ES_tradnl" w:eastAsia="es-CO"/>
        </w:rPr>
      </w:pPr>
      <w:r w:rsidRPr="005F2C03">
        <w:rPr>
          <w:rFonts w:cs="Arial"/>
          <w:lang w:val="es-ES_tradnl" w:eastAsia="es-CO"/>
        </w:rPr>
        <w:t>Bien se trate de riesgos catastróficos o de exposiciones provenientes de riesgos individuales, la primera función del reaseguro es la de otorgar una protección a los estados financieros de los aseguradores, pues en virtud de la transferencia de riesgos, las cedentes conservan sobre su patrimonio solo los que guarden relación con su solidez patrimonial.</w:t>
      </w:r>
    </w:p>
    <w:p w14:paraId="784A2581" w14:textId="77777777" w:rsidR="00794651" w:rsidRPr="005F2C03" w:rsidRDefault="00794651" w:rsidP="00794651">
      <w:pPr>
        <w:jc w:val="both"/>
        <w:rPr>
          <w:rFonts w:cs="Arial"/>
          <w:lang w:val="es-ES_tradnl" w:eastAsia="es-CO"/>
        </w:rPr>
      </w:pPr>
    </w:p>
    <w:p w14:paraId="4F8DB9C7" w14:textId="77777777" w:rsidR="00794651" w:rsidRPr="005F2C03" w:rsidRDefault="00794651" w:rsidP="00794651">
      <w:pPr>
        <w:jc w:val="both"/>
        <w:rPr>
          <w:rFonts w:cs="Arial"/>
          <w:lang w:val="es-ES_tradnl" w:eastAsia="es-CO"/>
        </w:rPr>
      </w:pPr>
      <w:r w:rsidRPr="005F2C03">
        <w:rPr>
          <w:rFonts w:cs="Arial"/>
          <w:lang w:val="es-ES_tradnl" w:eastAsia="es-CO"/>
        </w:rPr>
        <w:t>El reaseguro es también un sistema idóneo para que los aseguradores puedan lograr la uniformidad cuantitativa de sus carteras, cediendo los picos de las mismas y reteniendo los riesgos de magnitud similar. En esta forma se controla la volatilidad en los resultados permitiendo que los principios técnicos y cálculos estadísticos operen adecuadamente sin exponer los portafolios a desviaciones indeseables.</w:t>
      </w:r>
    </w:p>
    <w:p w14:paraId="0B1CE123" w14:textId="77777777" w:rsidR="00794651" w:rsidRPr="005F2C03" w:rsidRDefault="00794651" w:rsidP="00794651">
      <w:pPr>
        <w:jc w:val="both"/>
        <w:rPr>
          <w:rFonts w:cs="Arial"/>
          <w:lang w:val="es-ES_tradnl" w:eastAsia="es-CO"/>
        </w:rPr>
      </w:pPr>
    </w:p>
    <w:p w14:paraId="6DF5A705" w14:textId="77777777" w:rsidR="00794651" w:rsidRPr="005F2C03" w:rsidRDefault="00794651" w:rsidP="00794651">
      <w:pPr>
        <w:jc w:val="both"/>
        <w:rPr>
          <w:rFonts w:cs="Arial"/>
          <w:lang w:val="es-ES_tradnl" w:eastAsia="es-CO"/>
        </w:rPr>
      </w:pPr>
      <w:r w:rsidRPr="005F2C03">
        <w:rPr>
          <w:rFonts w:cs="Arial"/>
          <w:lang w:val="es-ES_tradnl" w:eastAsia="es-CO"/>
        </w:rPr>
        <w:t>En este sentido, el reaseguro opera como un sistema vertical de trasferencia de riesgos nivelando los valores asegurados expuestos, haciendo posible la uniformidad cuantitativa de la cartera y, al mismo tiempo, facilitando al asegurador emitir pólizas con valores asegurados cuantiosos que bien podrían superar su propio patrimonio.</w:t>
      </w:r>
    </w:p>
    <w:p w14:paraId="04156A93" w14:textId="77777777" w:rsidR="00794651" w:rsidRPr="005F2C03" w:rsidRDefault="00794651" w:rsidP="00794651">
      <w:pPr>
        <w:jc w:val="both"/>
        <w:rPr>
          <w:rFonts w:cs="Arial"/>
          <w:lang w:val="es-ES_tradnl" w:eastAsia="es-CO"/>
        </w:rPr>
      </w:pPr>
    </w:p>
    <w:p w14:paraId="44A63157" w14:textId="77777777" w:rsidR="00794651" w:rsidRPr="005F2C03" w:rsidRDefault="00794651" w:rsidP="00794651">
      <w:pPr>
        <w:jc w:val="both"/>
        <w:rPr>
          <w:rFonts w:cs="Arial"/>
          <w:lang w:val="es-ES_tradnl" w:eastAsia="es-CO"/>
        </w:rPr>
      </w:pPr>
      <w:r w:rsidRPr="005F2C03">
        <w:rPr>
          <w:rFonts w:cs="Arial"/>
          <w:lang w:val="es-ES_tradnl" w:eastAsia="es-CO"/>
        </w:rPr>
        <w:t>El reaseguro es también el instrumento más idóneo que posee el asegurador para lograr la uniformidad cualitativa. Si por ejemplo un asegurador tuviera una cartera concertada en uno o algunos ramos y de repente estuviera abocado a expedir una póliza de una línea distinta a las propias de su experiencia, podría hacerlo sin arriesgar su patrimonio, cediendo este riesgo al reasegurador.</w:t>
      </w:r>
    </w:p>
    <w:p w14:paraId="36BFA954" w14:textId="77777777" w:rsidR="00794651" w:rsidRPr="005F2C03" w:rsidRDefault="00794651" w:rsidP="00794651">
      <w:pPr>
        <w:jc w:val="both"/>
        <w:rPr>
          <w:rFonts w:cs="Arial"/>
          <w:lang w:val="es-ES_tradnl" w:eastAsia="es-CO"/>
        </w:rPr>
      </w:pPr>
    </w:p>
    <w:p w14:paraId="71CFC35F" w14:textId="2728FFED" w:rsidR="00794651" w:rsidRPr="005F2C03" w:rsidRDefault="00794651" w:rsidP="00C4639A">
      <w:pPr>
        <w:widowControl w:val="0"/>
        <w:ind w:right="96"/>
        <w:jc w:val="both"/>
        <w:rPr>
          <w:rFonts w:eastAsia="Arial Narrow" w:cs="Arial"/>
          <w:b/>
          <w:bCs/>
          <w:spacing w:val="1"/>
          <w:lang w:val="es-ES_tradnl" w:eastAsia="es-ES"/>
        </w:rPr>
      </w:pPr>
      <w:r w:rsidRPr="005F2C03">
        <w:rPr>
          <w:rFonts w:eastAsia="Arial Narrow" w:cs="Arial"/>
          <w:b/>
          <w:bCs/>
          <w:spacing w:val="1"/>
        </w:rPr>
        <w:t>Según la división de la economía clásica</w:t>
      </w:r>
    </w:p>
    <w:p w14:paraId="4A86F4C5" w14:textId="77777777" w:rsidR="00794651" w:rsidRPr="005F2C03" w:rsidRDefault="00794651" w:rsidP="00794651">
      <w:pPr>
        <w:pStyle w:val="Prrafodelista"/>
        <w:spacing w:before="36"/>
        <w:ind w:right="65"/>
        <w:jc w:val="both"/>
        <w:rPr>
          <w:rFonts w:eastAsia="Arial Narrow" w:cs="Arial"/>
        </w:rPr>
      </w:pPr>
    </w:p>
    <w:p w14:paraId="3668FAB7" w14:textId="77777777" w:rsidR="00794651" w:rsidRPr="005F2C03" w:rsidRDefault="00794651" w:rsidP="00794651">
      <w:pPr>
        <w:ind w:right="65"/>
        <w:contextualSpacing/>
        <w:jc w:val="both"/>
        <w:rPr>
          <w:rFonts w:eastAsia="Arial Narrow" w:cs="Arial"/>
          <w:lang w:val="es-ES_tradnl"/>
        </w:rPr>
      </w:pPr>
      <w:r w:rsidRPr="005F2C03">
        <w:rPr>
          <w:rFonts w:eastAsia="Arial Narrow" w:cs="Arial"/>
          <w:lang w:val="es-ES_tradnl"/>
        </w:rPr>
        <w:t xml:space="preserve">Según la división de la economía clásica, los sectores de la economía son los siguientes: </w:t>
      </w:r>
    </w:p>
    <w:p w14:paraId="74670D74" w14:textId="77777777" w:rsidR="00794651" w:rsidRPr="005F2C03" w:rsidRDefault="00794651" w:rsidP="00794651">
      <w:pPr>
        <w:ind w:right="65"/>
        <w:contextualSpacing/>
        <w:jc w:val="both"/>
        <w:rPr>
          <w:rFonts w:eastAsia="Arial Narrow" w:cs="Arial"/>
          <w:spacing w:val="3"/>
          <w:lang w:val="es-ES_tradnl"/>
        </w:rPr>
      </w:pPr>
      <w:r w:rsidRPr="005F2C03">
        <w:rPr>
          <w:rFonts w:eastAsia="Arial Narrow" w:cs="Arial"/>
          <w:spacing w:val="1"/>
          <w:lang w:val="es-ES_tradnl"/>
        </w:rPr>
        <w:t>Se</w:t>
      </w:r>
      <w:r w:rsidRPr="005F2C03">
        <w:rPr>
          <w:rFonts w:eastAsia="Arial Narrow" w:cs="Arial"/>
          <w:spacing w:val="-2"/>
          <w:lang w:val="es-ES_tradnl"/>
        </w:rPr>
        <w:t>c</w:t>
      </w:r>
      <w:r w:rsidRPr="005F2C03">
        <w:rPr>
          <w:rFonts w:eastAsia="Arial Narrow" w:cs="Arial"/>
          <w:lang w:val="es-ES_tradnl"/>
        </w:rPr>
        <w:t>t</w:t>
      </w:r>
      <w:r w:rsidRPr="005F2C03">
        <w:rPr>
          <w:rFonts w:eastAsia="Arial Narrow" w:cs="Arial"/>
          <w:spacing w:val="1"/>
          <w:lang w:val="es-ES_tradnl"/>
        </w:rPr>
        <w:t>o</w:t>
      </w:r>
      <w:r w:rsidRPr="005F2C03">
        <w:rPr>
          <w:rFonts w:eastAsia="Arial Narrow" w:cs="Arial"/>
          <w:lang w:val="es-ES_tradnl"/>
        </w:rPr>
        <w:t>r</w:t>
      </w:r>
      <w:r w:rsidRPr="005F2C03">
        <w:rPr>
          <w:rFonts w:eastAsia="Arial Narrow" w:cs="Arial"/>
          <w:spacing w:val="-2"/>
          <w:lang w:val="es-ES_tradnl"/>
        </w:rPr>
        <w:t xml:space="preserve"> </w:t>
      </w:r>
      <w:r w:rsidRPr="005F2C03">
        <w:rPr>
          <w:rFonts w:eastAsia="Arial Narrow" w:cs="Arial"/>
          <w:lang w:val="es-ES_tradnl"/>
        </w:rPr>
        <w:t>pri</w:t>
      </w:r>
      <w:r w:rsidRPr="005F2C03">
        <w:rPr>
          <w:rFonts w:eastAsia="Arial Narrow" w:cs="Arial"/>
          <w:spacing w:val="-1"/>
          <w:lang w:val="es-ES_tradnl"/>
        </w:rPr>
        <w:t>m</w:t>
      </w:r>
      <w:r w:rsidRPr="005F2C03">
        <w:rPr>
          <w:rFonts w:eastAsia="Arial Narrow" w:cs="Arial"/>
          <w:spacing w:val="1"/>
          <w:lang w:val="es-ES_tradnl"/>
        </w:rPr>
        <w:t>a</w:t>
      </w:r>
      <w:r w:rsidRPr="005F2C03">
        <w:rPr>
          <w:rFonts w:eastAsia="Arial Narrow" w:cs="Arial"/>
          <w:lang w:val="es-ES_tradnl"/>
        </w:rPr>
        <w:t>r</w:t>
      </w:r>
      <w:r w:rsidRPr="005F2C03">
        <w:rPr>
          <w:rFonts w:eastAsia="Arial Narrow" w:cs="Arial"/>
          <w:spacing w:val="-1"/>
          <w:lang w:val="es-ES_tradnl"/>
        </w:rPr>
        <w:t>i</w:t>
      </w:r>
      <w:r w:rsidRPr="005F2C03">
        <w:rPr>
          <w:rFonts w:eastAsia="Arial Narrow" w:cs="Arial"/>
          <w:lang w:val="es-ES_tradnl"/>
        </w:rPr>
        <w:t>o</w:t>
      </w:r>
      <w:r w:rsidRPr="005F2C03">
        <w:rPr>
          <w:rFonts w:eastAsia="Arial Narrow" w:cs="Arial"/>
          <w:spacing w:val="1"/>
          <w:lang w:val="es-ES_tradnl"/>
        </w:rPr>
        <w:t xml:space="preserve"> </w:t>
      </w:r>
      <w:r w:rsidRPr="005F2C03">
        <w:rPr>
          <w:rFonts w:eastAsia="Arial Narrow" w:cs="Arial"/>
          <w:lang w:val="es-ES_tradnl"/>
        </w:rPr>
        <w:t>o s</w:t>
      </w:r>
      <w:r w:rsidRPr="005F2C03">
        <w:rPr>
          <w:rFonts w:eastAsia="Arial Narrow" w:cs="Arial"/>
          <w:spacing w:val="1"/>
          <w:lang w:val="es-ES_tradnl"/>
        </w:rPr>
        <w:t>e</w:t>
      </w:r>
      <w:r w:rsidRPr="005F2C03">
        <w:rPr>
          <w:rFonts w:eastAsia="Arial Narrow" w:cs="Arial"/>
          <w:lang w:val="es-ES_tradnl"/>
        </w:rPr>
        <w:t>ct</w:t>
      </w:r>
      <w:r w:rsidRPr="005F2C03">
        <w:rPr>
          <w:rFonts w:eastAsia="Arial Narrow" w:cs="Arial"/>
          <w:spacing w:val="1"/>
          <w:lang w:val="es-ES_tradnl"/>
        </w:rPr>
        <w:t>o</w:t>
      </w:r>
      <w:r w:rsidRPr="005F2C03">
        <w:rPr>
          <w:rFonts w:eastAsia="Arial Narrow" w:cs="Arial"/>
          <w:lang w:val="es-ES_tradnl"/>
        </w:rPr>
        <w:t>r</w:t>
      </w:r>
      <w:r w:rsidRPr="005F2C03">
        <w:rPr>
          <w:rFonts w:eastAsia="Arial Narrow" w:cs="Arial"/>
          <w:spacing w:val="-1"/>
          <w:lang w:val="es-ES_tradnl"/>
        </w:rPr>
        <w:t xml:space="preserve"> </w:t>
      </w:r>
      <w:r w:rsidRPr="005F2C03">
        <w:rPr>
          <w:rFonts w:eastAsia="Arial Narrow" w:cs="Arial"/>
          <w:spacing w:val="-2"/>
          <w:lang w:val="es-ES_tradnl"/>
        </w:rPr>
        <w:t>a</w:t>
      </w:r>
      <w:r w:rsidRPr="005F2C03">
        <w:rPr>
          <w:rFonts w:eastAsia="Arial Narrow" w:cs="Arial"/>
          <w:spacing w:val="1"/>
          <w:lang w:val="es-ES_tradnl"/>
        </w:rPr>
        <w:t>g</w:t>
      </w:r>
      <w:r w:rsidRPr="005F2C03">
        <w:rPr>
          <w:rFonts w:eastAsia="Arial Narrow" w:cs="Arial"/>
          <w:lang w:val="es-ES_tradnl"/>
        </w:rPr>
        <w:t>ro</w:t>
      </w:r>
      <w:r w:rsidRPr="005F2C03">
        <w:rPr>
          <w:rFonts w:eastAsia="Arial Narrow" w:cs="Arial"/>
          <w:spacing w:val="1"/>
          <w:lang w:val="es-ES_tradnl"/>
        </w:rPr>
        <w:t>pe</w:t>
      </w:r>
      <w:r w:rsidRPr="005F2C03">
        <w:rPr>
          <w:rFonts w:eastAsia="Arial Narrow" w:cs="Arial"/>
          <w:spacing w:val="-2"/>
          <w:lang w:val="es-ES_tradnl"/>
        </w:rPr>
        <w:t>c</w:t>
      </w:r>
      <w:r w:rsidRPr="005F2C03">
        <w:rPr>
          <w:rFonts w:eastAsia="Arial Narrow" w:cs="Arial"/>
          <w:spacing w:val="1"/>
          <w:lang w:val="es-ES_tradnl"/>
        </w:rPr>
        <w:t>ua</w:t>
      </w:r>
      <w:r w:rsidRPr="005F2C03">
        <w:rPr>
          <w:rFonts w:eastAsia="Arial Narrow" w:cs="Arial"/>
          <w:lang w:val="es-ES_tradnl"/>
        </w:rPr>
        <w:t>r</w:t>
      </w:r>
      <w:r w:rsidRPr="005F2C03">
        <w:rPr>
          <w:rFonts w:eastAsia="Arial Narrow" w:cs="Arial"/>
          <w:spacing w:val="-1"/>
          <w:lang w:val="es-ES_tradnl"/>
        </w:rPr>
        <w:t>i</w:t>
      </w:r>
      <w:r w:rsidRPr="005F2C03">
        <w:rPr>
          <w:rFonts w:eastAsia="Arial Narrow" w:cs="Arial"/>
          <w:spacing w:val="3"/>
          <w:lang w:val="es-ES_tradnl"/>
        </w:rPr>
        <w:t>o.</w:t>
      </w:r>
    </w:p>
    <w:p w14:paraId="307C0637" w14:textId="77777777" w:rsidR="00794651" w:rsidRPr="005F2C03" w:rsidRDefault="00794651" w:rsidP="00794651">
      <w:pPr>
        <w:ind w:right="65"/>
        <w:contextualSpacing/>
        <w:jc w:val="both"/>
        <w:rPr>
          <w:rFonts w:eastAsia="Arial Narrow" w:cs="Arial"/>
          <w:lang w:val="es-ES_tradnl"/>
        </w:rPr>
      </w:pPr>
      <w:r w:rsidRPr="005F2C03">
        <w:rPr>
          <w:rFonts w:eastAsia="Arial Narrow" w:cs="Arial"/>
          <w:spacing w:val="1"/>
          <w:lang w:val="es-ES_tradnl"/>
        </w:rPr>
        <w:t>Se</w:t>
      </w:r>
      <w:r w:rsidRPr="005F2C03">
        <w:rPr>
          <w:rFonts w:eastAsia="Arial Narrow" w:cs="Arial"/>
          <w:lang w:val="es-ES_tradnl"/>
        </w:rPr>
        <w:t>ct</w:t>
      </w:r>
      <w:r w:rsidRPr="005F2C03">
        <w:rPr>
          <w:rFonts w:eastAsia="Arial Narrow" w:cs="Arial"/>
          <w:spacing w:val="1"/>
          <w:lang w:val="es-ES_tradnl"/>
        </w:rPr>
        <w:t>o</w:t>
      </w:r>
      <w:r w:rsidRPr="005F2C03">
        <w:rPr>
          <w:rFonts w:eastAsia="Arial Narrow" w:cs="Arial"/>
          <w:lang w:val="es-ES_tradnl"/>
        </w:rPr>
        <w:t>r</w:t>
      </w:r>
      <w:r w:rsidRPr="005F2C03">
        <w:rPr>
          <w:rFonts w:eastAsia="Arial Narrow" w:cs="Arial"/>
          <w:spacing w:val="-2"/>
          <w:lang w:val="es-ES_tradnl"/>
        </w:rPr>
        <w:t xml:space="preserve"> </w:t>
      </w:r>
      <w:r w:rsidRPr="005F2C03">
        <w:rPr>
          <w:rFonts w:eastAsia="Arial Narrow" w:cs="Arial"/>
          <w:spacing w:val="-3"/>
          <w:lang w:val="es-ES_tradnl"/>
        </w:rPr>
        <w:t>s</w:t>
      </w:r>
      <w:r w:rsidRPr="005F2C03">
        <w:rPr>
          <w:rFonts w:eastAsia="Arial Narrow" w:cs="Arial"/>
          <w:spacing w:val="1"/>
          <w:lang w:val="es-ES_tradnl"/>
        </w:rPr>
        <w:t>e</w:t>
      </w:r>
      <w:r w:rsidRPr="005F2C03">
        <w:rPr>
          <w:rFonts w:eastAsia="Arial Narrow" w:cs="Arial"/>
          <w:lang w:val="es-ES_tradnl"/>
        </w:rPr>
        <w:t>c</w:t>
      </w:r>
      <w:r w:rsidRPr="005F2C03">
        <w:rPr>
          <w:rFonts w:eastAsia="Arial Narrow" w:cs="Arial"/>
          <w:spacing w:val="1"/>
          <w:lang w:val="es-ES_tradnl"/>
        </w:rPr>
        <w:t>u</w:t>
      </w:r>
      <w:r w:rsidRPr="005F2C03">
        <w:rPr>
          <w:rFonts w:eastAsia="Arial Narrow" w:cs="Arial"/>
          <w:spacing w:val="-1"/>
          <w:lang w:val="es-ES_tradnl"/>
        </w:rPr>
        <w:t>n</w:t>
      </w:r>
      <w:r w:rsidRPr="005F2C03">
        <w:rPr>
          <w:rFonts w:eastAsia="Arial Narrow" w:cs="Arial"/>
          <w:spacing w:val="1"/>
          <w:lang w:val="es-ES_tradnl"/>
        </w:rPr>
        <w:t>da</w:t>
      </w:r>
      <w:r w:rsidRPr="005F2C03">
        <w:rPr>
          <w:rFonts w:eastAsia="Arial Narrow" w:cs="Arial"/>
          <w:lang w:val="es-ES_tradnl"/>
        </w:rPr>
        <w:t>r</w:t>
      </w:r>
      <w:r w:rsidRPr="005F2C03">
        <w:rPr>
          <w:rFonts w:eastAsia="Arial Narrow" w:cs="Arial"/>
          <w:spacing w:val="-1"/>
          <w:lang w:val="es-ES_tradnl"/>
        </w:rPr>
        <w:t>i</w:t>
      </w:r>
      <w:r w:rsidRPr="005F2C03">
        <w:rPr>
          <w:rFonts w:eastAsia="Arial Narrow" w:cs="Arial"/>
          <w:lang w:val="es-ES_tradnl"/>
        </w:rPr>
        <w:t>o</w:t>
      </w:r>
      <w:r w:rsidRPr="005F2C03">
        <w:rPr>
          <w:rFonts w:eastAsia="Arial Narrow" w:cs="Arial"/>
          <w:spacing w:val="-1"/>
          <w:lang w:val="es-ES_tradnl"/>
        </w:rPr>
        <w:t xml:space="preserve"> </w:t>
      </w:r>
      <w:r w:rsidRPr="005F2C03">
        <w:rPr>
          <w:rFonts w:eastAsia="Arial Narrow" w:cs="Arial"/>
          <w:lang w:val="es-ES_tradnl"/>
        </w:rPr>
        <w:t>o</w:t>
      </w:r>
      <w:r w:rsidRPr="005F2C03">
        <w:rPr>
          <w:rFonts w:eastAsia="Arial Narrow" w:cs="Arial"/>
          <w:spacing w:val="1"/>
          <w:lang w:val="es-ES_tradnl"/>
        </w:rPr>
        <w:t xml:space="preserve"> </w:t>
      </w:r>
      <w:r w:rsidRPr="005F2C03">
        <w:rPr>
          <w:rFonts w:eastAsia="Arial Narrow" w:cs="Arial"/>
          <w:lang w:val="es-ES_tradnl"/>
        </w:rPr>
        <w:t>s</w:t>
      </w:r>
      <w:r w:rsidRPr="005F2C03">
        <w:rPr>
          <w:rFonts w:eastAsia="Arial Narrow" w:cs="Arial"/>
          <w:spacing w:val="1"/>
          <w:lang w:val="es-ES_tradnl"/>
        </w:rPr>
        <w:t>e</w:t>
      </w:r>
      <w:r w:rsidRPr="005F2C03">
        <w:rPr>
          <w:rFonts w:eastAsia="Arial Narrow" w:cs="Arial"/>
          <w:lang w:val="es-ES_tradnl"/>
        </w:rPr>
        <w:t>c</w:t>
      </w:r>
      <w:r w:rsidRPr="005F2C03">
        <w:rPr>
          <w:rFonts w:eastAsia="Arial Narrow" w:cs="Arial"/>
          <w:spacing w:val="-2"/>
          <w:lang w:val="es-ES_tradnl"/>
        </w:rPr>
        <w:t>t</w:t>
      </w:r>
      <w:r w:rsidRPr="005F2C03">
        <w:rPr>
          <w:rFonts w:eastAsia="Arial Narrow" w:cs="Arial"/>
          <w:spacing w:val="1"/>
          <w:lang w:val="es-ES_tradnl"/>
        </w:rPr>
        <w:t>o</w:t>
      </w:r>
      <w:r w:rsidRPr="005F2C03">
        <w:rPr>
          <w:rFonts w:eastAsia="Arial Narrow" w:cs="Arial"/>
          <w:lang w:val="es-ES_tradnl"/>
        </w:rPr>
        <w:t>r</w:t>
      </w:r>
      <w:r w:rsidRPr="005F2C03">
        <w:rPr>
          <w:rFonts w:eastAsia="Arial Narrow" w:cs="Arial"/>
          <w:spacing w:val="-1"/>
          <w:lang w:val="es-ES_tradnl"/>
        </w:rPr>
        <w:t xml:space="preserve"> </w:t>
      </w:r>
      <w:r w:rsidRPr="005F2C03">
        <w:rPr>
          <w:rFonts w:eastAsia="Arial Narrow" w:cs="Arial"/>
          <w:spacing w:val="-2"/>
          <w:lang w:val="es-ES_tradnl"/>
        </w:rPr>
        <w:t>I</w:t>
      </w:r>
      <w:r w:rsidRPr="005F2C03">
        <w:rPr>
          <w:rFonts w:eastAsia="Arial Narrow" w:cs="Arial"/>
          <w:spacing w:val="1"/>
          <w:lang w:val="es-ES_tradnl"/>
        </w:rPr>
        <w:t>ndu</w:t>
      </w:r>
      <w:r w:rsidRPr="005F2C03">
        <w:rPr>
          <w:rFonts w:eastAsia="Arial Narrow" w:cs="Arial"/>
          <w:lang w:val="es-ES_tradnl"/>
        </w:rPr>
        <w:t>str</w:t>
      </w:r>
      <w:r w:rsidRPr="005F2C03">
        <w:rPr>
          <w:rFonts w:eastAsia="Arial Narrow" w:cs="Arial"/>
          <w:spacing w:val="-1"/>
          <w:lang w:val="es-ES_tradnl"/>
        </w:rPr>
        <w:t>i</w:t>
      </w:r>
      <w:r w:rsidRPr="005F2C03">
        <w:rPr>
          <w:rFonts w:eastAsia="Arial Narrow" w:cs="Arial"/>
          <w:spacing w:val="1"/>
          <w:lang w:val="es-ES_tradnl"/>
        </w:rPr>
        <w:t>a</w:t>
      </w:r>
      <w:r w:rsidRPr="005F2C03">
        <w:rPr>
          <w:rFonts w:eastAsia="Arial Narrow" w:cs="Arial"/>
          <w:spacing w:val="4"/>
          <w:lang w:val="es-ES_tradnl"/>
        </w:rPr>
        <w:t>l</w:t>
      </w:r>
      <w:r w:rsidRPr="005F2C03">
        <w:rPr>
          <w:rFonts w:eastAsia="Arial Narrow" w:cs="Arial"/>
          <w:lang w:val="es-ES_tradnl"/>
        </w:rPr>
        <w:t>.</w:t>
      </w:r>
    </w:p>
    <w:p w14:paraId="21073530" w14:textId="77777777" w:rsidR="00794651" w:rsidRPr="005F2C03" w:rsidRDefault="00794651" w:rsidP="00794651">
      <w:pPr>
        <w:ind w:right="65"/>
        <w:contextualSpacing/>
        <w:jc w:val="both"/>
        <w:rPr>
          <w:rFonts w:eastAsia="Arial Narrow" w:cs="Arial"/>
          <w:lang w:val="es-ES_tradnl"/>
        </w:rPr>
      </w:pPr>
      <w:r w:rsidRPr="005F2C03">
        <w:rPr>
          <w:rFonts w:eastAsia="Arial Narrow" w:cs="Arial"/>
          <w:spacing w:val="1"/>
          <w:lang w:val="es-ES_tradnl"/>
        </w:rPr>
        <w:t>Se</w:t>
      </w:r>
      <w:r w:rsidRPr="005F2C03">
        <w:rPr>
          <w:rFonts w:eastAsia="Arial Narrow" w:cs="Arial"/>
          <w:lang w:val="es-ES_tradnl"/>
        </w:rPr>
        <w:t>c</w:t>
      </w:r>
      <w:r w:rsidRPr="005F2C03">
        <w:rPr>
          <w:rFonts w:eastAsia="Arial Narrow" w:cs="Arial"/>
          <w:spacing w:val="-2"/>
          <w:lang w:val="es-ES_tradnl"/>
        </w:rPr>
        <w:t>t</w:t>
      </w:r>
      <w:r w:rsidRPr="005F2C03">
        <w:rPr>
          <w:rFonts w:eastAsia="Arial Narrow" w:cs="Arial"/>
          <w:spacing w:val="1"/>
          <w:lang w:val="es-ES_tradnl"/>
        </w:rPr>
        <w:t>o</w:t>
      </w:r>
      <w:r w:rsidRPr="005F2C03">
        <w:rPr>
          <w:rFonts w:eastAsia="Arial Narrow" w:cs="Arial"/>
          <w:lang w:val="es-ES_tradnl"/>
        </w:rPr>
        <w:t>r</w:t>
      </w:r>
      <w:r w:rsidRPr="005F2C03">
        <w:rPr>
          <w:rFonts w:eastAsia="Arial Narrow" w:cs="Arial"/>
          <w:spacing w:val="-2"/>
          <w:lang w:val="es-ES_tradnl"/>
        </w:rPr>
        <w:t xml:space="preserve"> </w:t>
      </w:r>
      <w:r w:rsidRPr="005F2C03">
        <w:rPr>
          <w:rFonts w:eastAsia="Arial Narrow" w:cs="Arial"/>
          <w:lang w:val="es-ES_tradnl"/>
        </w:rPr>
        <w:t>t</w:t>
      </w:r>
      <w:r w:rsidRPr="005F2C03">
        <w:rPr>
          <w:rFonts w:eastAsia="Arial Narrow" w:cs="Arial"/>
          <w:spacing w:val="1"/>
          <w:lang w:val="es-ES_tradnl"/>
        </w:rPr>
        <w:t>e</w:t>
      </w:r>
      <w:r w:rsidRPr="005F2C03">
        <w:rPr>
          <w:rFonts w:eastAsia="Arial Narrow" w:cs="Arial"/>
          <w:lang w:val="es-ES_tradnl"/>
        </w:rPr>
        <w:t>rc</w:t>
      </w:r>
      <w:r w:rsidRPr="005F2C03">
        <w:rPr>
          <w:rFonts w:eastAsia="Arial Narrow" w:cs="Arial"/>
          <w:spacing w:val="-1"/>
          <w:lang w:val="es-ES_tradnl"/>
        </w:rPr>
        <w:t>i</w:t>
      </w:r>
      <w:r w:rsidRPr="005F2C03">
        <w:rPr>
          <w:rFonts w:eastAsia="Arial Narrow" w:cs="Arial"/>
          <w:spacing w:val="1"/>
          <w:lang w:val="es-ES_tradnl"/>
        </w:rPr>
        <w:t>a</w:t>
      </w:r>
      <w:r w:rsidRPr="005F2C03">
        <w:rPr>
          <w:rFonts w:eastAsia="Arial Narrow" w:cs="Arial"/>
          <w:lang w:val="es-ES_tradnl"/>
        </w:rPr>
        <w:t>r</w:t>
      </w:r>
      <w:r w:rsidRPr="005F2C03">
        <w:rPr>
          <w:rFonts w:eastAsia="Arial Narrow" w:cs="Arial"/>
          <w:spacing w:val="-1"/>
          <w:lang w:val="es-ES_tradnl"/>
        </w:rPr>
        <w:t>i</w:t>
      </w:r>
      <w:r w:rsidRPr="005F2C03">
        <w:rPr>
          <w:rFonts w:eastAsia="Arial Narrow" w:cs="Arial"/>
          <w:lang w:val="es-ES_tradnl"/>
        </w:rPr>
        <w:t>o</w:t>
      </w:r>
      <w:r w:rsidRPr="005F2C03">
        <w:rPr>
          <w:rFonts w:eastAsia="Arial Narrow" w:cs="Arial"/>
          <w:spacing w:val="1"/>
          <w:lang w:val="es-ES_tradnl"/>
        </w:rPr>
        <w:t xml:space="preserve"> </w:t>
      </w:r>
      <w:r w:rsidRPr="005F2C03">
        <w:rPr>
          <w:rFonts w:eastAsia="Arial Narrow" w:cs="Arial"/>
          <w:lang w:val="es-ES_tradnl"/>
        </w:rPr>
        <w:t>o</w:t>
      </w:r>
      <w:r w:rsidRPr="005F2C03">
        <w:rPr>
          <w:rFonts w:eastAsia="Arial Narrow" w:cs="Arial"/>
          <w:spacing w:val="-3"/>
          <w:lang w:val="es-ES_tradnl"/>
        </w:rPr>
        <w:t xml:space="preserve"> </w:t>
      </w:r>
      <w:r w:rsidRPr="005F2C03">
        <w:rPr>
          <w:rFonts w:eastAsia="Arial Narrow" w:cs="Arial"/>
          <w:lang w:val="es-ES_tradnl"/>
        </w:rPr>
        <w:t>s</w:t>
      </w:r>
      <w:r w:rsidRPr="005F2C03">
        <w:rPr>
          <w:rFonts w:eastAsia="Arial Narrow" w:cs="Arial"/>
          <w:spacing w:val="1"/>
          <w:lang w:val="es-ES_tradnl"/>
        </w:rPr>
        <w:t>e</w:t>
      </w:r>
      <w:r w:rsidRPr="005F2C03">
        <w:rPr>
          <w:rFonts w:eastAsia="Arial Narrow" w:cs="Arial"/>
          <w:lang w:val="es-ES_tradnl"/>
        </w:rPr>
        <w:t>ct</w:t>
      </w:r>
      <w:r w:rsidRPr="005F2C03">
        <w:rPr>
          <w:rFonts w:eastAsia="Arial Narrow" w:cs="Arial"/>
          <w:spacing w:val="1"/>
          <w:lang w:val="es-ES_tradnl"/>
        </w:rPr>
        <w:t>o</w:t>
      </w:r>
      <w:r w:rsidRPr="005F2C03">
        <w:rPr>
          <w:rFonts w:eastAsia="Arial Narrow" w:cs="Arial"/>
          <w:lang w:val="es-ES_tradnl"/>
        </w:rPr>
        <w:t>r</w:t>
      </w:r>
      <w:r w:rsidRPr="005F2C03">
        <w:rPr>
          <w:rFonts w:eastAsia="Arial Narrow" w:cs="Arial"/>
          <w:spacing w:val="-1"/>
          <w:lang w:val="es-ES_tradnl"/>
        </w:rPr>
        <w:t xml:space="preserve"> </w:t>
      </w:r>
      <w:r w:rsidRPr="005F2C03">
        <w:rPr>
          <w:rFonts w:eastAsia="Arial Narrow" w:cs="Arial"/>
          <w:spacing w:val="-2"/>
          <w:lang w:val="es-ES_tradnl"/>
        </w:rPr>
        <w:t>d</w:t>
      </w:r>
      <w:r w:rsidRPr="005F2C03">
        <w:rPr>
          <w:rFonts w:eastAsia="Arial Narrow" w:cs="Arial"/>
          <w:lang w:val="es-ES_tradnl"/>
        </w:rPr>
        <w:t>e</w:t>
      </w:r>
      <w:r w:rsidRPr="005F2C03">
        <w:rPr>
          <w:rFonts w:eastAsia="Arial Narrow" w:cs="Arial"/>
          <w:spacing w:val="1"/>
          <w:lang w:val="es-ES_tradnl"/>
        </w:rPr>
        <w:t xml:space="preserve"> </w:t>
      </w:r>
      <w:r w:rsidRPr="005F2C03">
        <w:rPr>
          <w:rFonts w:eastAsia="Arial Narrow" w:cs="Arial"/>
          <w:lang w:val="es-ES_tradnl"/>
        </w:rPr>
        <w:t>s</w:t>
      </w:r>
      <w:r w:rsidRPr="005F2C03">
        <w:rPr>
          <w:rFonts w:eastAsia="Arial Narrow" w:cs="Arial"/>
          <w:spacing w:val="1"/>
          <w:lang w:val="es-ES_tradnl"/>
        </w:rPr>
        <w:t>e</w:t>
      </w:r>
      <w:r w:rsidRPr="005F2C03">
        <w:rPr>
          <w:rFonts w:eastAsia="Arial Narrow" w:cs="Arial"/>
          <w:lang w:val="es-ES_tradnl"/>
        </w:rPr>
        <w:t>rv</w:t>
      </w:r>
      <w:r w:rsidRPr="005F2C03">
        <w:rPr>
          <w:rFonts w:eastAsia="Arial Narrow" w:cs="Arial"/>
          <w:spacing w:val="-1"/>
          <w:lang w:val="es-ES_tradnl"/>
        </w:rPr>
        <w:t>i</w:t>
      </w:r>
      <w:r w:rsidRPr="005F2C03">
        <w:rPr>
          <w:rFonts w:eastAsia="Arial Narrow" w:cs="Arial"/>
          <w:lang w:val="es-ES_tradnl"/>
        </w:rPr>
        <w:t>cios.</w:t>
      </w:r>
    </w:p>
    <w:p w14:paraId="2C9037AC" w14:textId="77777777" w:rsidR="00794651" w:rsidRPr="005F2C03" w:rsidRDefault="00794651" w:rsidP="00794651">
      <w:pPr>
        <w:ind w:right="96"/>
        <w:contextualSpacing/>
        <w:jc w:val="both"/>
        <w:rPr>
          <w:rFonts w:eastAsia="Arial Narrow" w:cs="Arial"/>
          <w:spacing w:val="1"/>
          <w:lang w:val="es-ES_tradnl"/>
        </w:rPr>
      </w:pPr>
    </w:p>
    <w:p w14:paraId="33B49508" w14:textId="258D5182" w:rsidR="00794651" w:rsidRPr="005F2C03" w:rsidRDefault="00794651" w:rsidP="00C4639A">
      <w:pPr>
        <w:widowControl w:val="0"/>
        <w:ind w:right="96"/>
        <w:jc w:val="both"/>
        <w:rPr>
          <w:rFonts w:eastAsia="Arial Narrow" w:cs="Arial"/>
          <w:b/>
          <w:bCs/>
          <w:spacing w:val="1"/>
          <w:lang w:val="es-ES_tradnl"/>
        </w:rPr>
      </w:pPr>
      <w:r w:rsidRPr="005F2C03">
        <w:rPr>
          <w:rFonts w:eastAsia="Arial Narrow" w:cs="Arial"/>
          <w:b/>
          <w:bCs/>
          <w:spacing w:val="1"/>
        </w:rPr>
        <w:t>Sector primario o agropecuario</w:t>
      </w:r>
    </w:p>
    <w:p w14:paraId="31C61BB0" w14:textId="77777777" w:rsidR="00794651" w:rsidRPr="005F2C03" w:rsidRDefault="00794651" w:rsidP="00794651">
      <w:pPr>
        <w:pStyle w:val="Prrafodelista"/>
        <w:ind w:right="96"/>
        <w:jc w:val="both"/>
        <w:rPr>
          <w:rFonts w:eastAsia="Arial Narrow" w:cs="Arial"/>
        </w:rPr>
      </w:pPr>
    </w:p>
    <w:p w14:paraId="1821093B" w14:textId="77777777" w:rsidR="00794651" w:rsidRPr="005F2C03" w:rsidRDefault="00794651" w:rsidP="00794651">
      <w:pPr>
        <w:ind w:right="65"/>
        <w:contextualSpacing/>
        <w:jc w:val="both"/>
        <w:rPr>
          <w:rFonts w:eastAsia="Times New Roman" w:cs="Arial"/>
          <w:lang w:val="es-ES_tradnl"/>
        </w:rPr>
      </w:pPr>
      <w:r w:rsidRPr="005F2C03">
        <w:rPr>
          <w:rFonts w:cs="Arial"/>
          <w:lang w:val="es-ES_tradnl"/>
        </w:rPr>
        <w:t>Es el sector que obtiene el producto de sus actividades directamente de la naturaleza, sin ningún proceso de trasformación. Dentro de este sector se encuentran la agricultura, la ganadería, la silvicultura, la caza y la pesca. No se incluyen dentro de este sector a la minería y a la extracción de petróleo, las cuales se consideran parte del sector industrial.</w:t>
      </w:r>
    </w:p>
    <w:p w14:paraId="466BCB30" w14:textId="77777777" w:rsidR="00794651" w:rsidRPr="005F2C03" w:rsidRDefault="00794651" w:rsidP="00794651">
      <w:pPr>
        <w:spacing w:before="36"/>
        <w:ind w:left="222" w:right="65"/>
        <w:contextualSpacing/>
        <w:jc w:val="both"/>
        <w:rPr>
          <w:rFonts w:cs="Arial"/>
          <w:lang w:val="es-ES_tradnl"/>
        </w:rPr>
      </w:pPr>
    </w:p>
    <w:p w14:paraId="305ED777" w14:textId="77777777" w:rsidR="00794651" w:rsidRPr="005F2C03" w:rsidRDefault="00794651" w:rsidP="00C4639A">
      <w:pPr>
        <w:widowControl w:val="0"/>
        <w:spacing w:before="36"/>
        <w:ind w:right="65"/>
        <w:jc w:val="both"/>
        <w:rPr>
          <w:rFonts w:cs="Arial"/>
          <w:b/>
          <w:bCs/>
          <w:lang w:val="es-ES_tradnl"/>
        </w:rPr>
      </w:pPr>
      <w:r w:rsidRPr="005F2C03">
        <w:rPr>
          <w:rFonts w:cs="Arial"/>
          <w:b/>
          <w:bCs/>
        </w:rPr>
        <w:t xml:space="preserve">Sector secundario industrial  </w:t>
      </w:r>
    </w:p>
    <w:p w14:paraId="417CC0B4" w14:textId="77777777" w:rsidR="00794651" w:rsidRPr="005F2C03" w:rsidRDefault="00794651" w:rsidP="00794651">
      <w:pPr>
        <w:pStyle w:val="Prrafodelista"/>
        <w:spacing w:before="36"/>
        <w:ind w:right="65"/>
        <w:jc w:val="both"/>
        <w:rPr>
          <w:rFonts w:cs="Arial"/>
        </w:rPr>
      </w:pPr>
    </w:p>
    <w:p w14:paraId="69F99660" w14:textId="77777777" w:rsidR="00794651" w:rsidRPr="005F2C03" w:rsidRDefault="00794651" w:rsidP="00794651">
      <w:pPr>
        <w:ind w:right="65"/>
        <w:contextualSpacing/>
        <w:jc w:val="both"/>
        <w:rPr>
          <w:rFonts w:cs="Arial"/>
          <w:lang w:val="es-ES_tradnl"/>
        </w:rPr>
      </w:pPr>
      <w:r w:rsidRPr="005F2C03">
        <w:rPr>
          <w:rFonts w:cs="Arial"/>
          <w:lang w:val="es-ES_tradnl"/>
        </w:rPr>
        <w:lastRenderedPageBreak/>
        <w:t>Comprende todas las actividades económicas de un país relacionadas con la trasformación industrial de los alimentos y otros tipos de bienes o mercancías, los cuales se utilizan como base para la fabricación de nuevos productos.</w:t>
      </w:r>
    </w:p>
    <w:p w14:paraId="270ACAAD" w14:textId="77777777" w:rsidR="00794651" w:rsidRPr="005F2C03" w:rsidRDefault="00794651" w:rsidP="00794651">
      <w:pPr>
        <w:ind w:left="222" w:right="176"/>
        <w:contextualSpacing/>
        <w:jc w:val="both"/>
        <w:rPr>
          <w:rFonts w:cs="Arial"/>
          <w:lang w:val="es-ES_tradnl"/>
        </w:rPr>
      </w:pPr>
    </w:p>
    <w:p w14:paraId="640E149B" w14:textId="77777777" w:rsidR="00794651" w:rsidRPr="005F2C03" w:rsidRDefault="00794651" w:rsidP="00794651">
      <w:pPr>
        <w:ind w:right="176"/>
        <w:contextualSpacing/>
        <w:jc w:val="both"/>
        <w:rPr>
          <w:rFonts w:cs="Arial"/>
          <w:lang w:val="es-ES_tradnl"/>
        </w:rPr>
      </w:pPr>
      <w:r w:rsidRPr="005F2C03">
        <w:rPr>
          <w:rFonts w:cs="Arial"/>
          <w:lang w:val="es-ES_tradnl"/>
        </w:rPr>
        <w:t>Se divide en dos subsectores: industrial extractivo e industrial de trasformación.</w:t>
      </w:r>
    </w:p>
    <w:p w14:paraId="0B395C46" w14:textId="77777777" w:rsidR="00794651" w:rsidRPr="005F2C03" w:rsidRDefault="00794651" w:rsidP="00794651">
      <w:pPr>
        <w:ind w:left="222" w:right="176"/>
        <w:contextualSpacing/>
        <w:jc w:val="both"/>
        <w:rPr>
          <w:rFonts w:cs="Arial"/>
          <w:lang w:val="es-ES_tradnl"/>
        </w:rPr>
      </w:pPr>
    </w:p>
    <w:p w14:paraId="3295945D" w14:textId="77777777" w:rsidR="00794651" w:rsidRPr="005F2C03" w:rsidRDefault="00794651" w:rsidP="00794651">
      <w:pPr>
        <w:ind w:right="176"/>
        <w:contextualSpacing/>
        <w:jc w:val="both"/>
        <w:rPr>
          <w:rFonts w:cs="Arial"/>
          <w:lang w:val="es-ES_tradnl"/>
        </w:rPr>
      </w:pPr>
      <w:r w:rsidRPr="005F2C03">
        <w:rPr>
          <w:rFonts w:cs="Arial"/>
          <w:lang w:val="es-ES_tradnl"/>
        </w:rPr>
        <w:t>Industrial extractivo: extracción minera y de petróleo.</w:t>
      </w:r>
    </w:p>
    <w:p w14:paraId="2F6990B3" w14:textId="77777777" w:rsidR="00794651" w:rsidRPr="005F2C03" w:rsidRDefault="00794651" w:rsidP="00794651">
      <w:pPr>
        <w:ind w:left="222" w:right="176"/>
        <w:contextualSpacing/>
        <w:jc w:val="both"/>
        <w:rPr>
          <w:rFonts w:cs="Arial"/>
          <w:lang w:val="es-ES_tradnl"/>
        </w:rPr>
      </w:pPr>
    </w:p>
    <w:p w14:paraId="7FE0DF7E" w14:textId="77777777" w:rsidR="00794651" w:rsidRPr="005F2C03" w:rsidRDefault="00794651" w:rsidP="00794651">
      <w:pPr>
        <w:ind w:right="176"/>
        <w:contextualSpacing/>
        <w:jc w:val="both"/>
        <w:rPr>
          <w:rFonts w:cs="Arial"/>
          <w:lang w:val="es-ES_tradnl"/>
        </w:rPr>
      </w:pPr>
      <w:r w:rsidRPr="005F2C03">
        <w:rPr>
          <w:rFonts w:cs="Arial"/>
          <w:lang w:val="es-ES_tradnl"/>
        </w:rPr>
        <w:t>Industrial de trasformación: Envasado de legumbres y frutas, embotellado de refrescos, fabricación de abonos y fertilizantes, vehículos, cementos, aparatos electrodomésticos, etc.</w:t>
      </w:r>
    </w:p>
    <w:p w14:paraId="70EAD503" w14:textId="77777777" w:rsidR="00794651" w:rsidRPr="005F2C03" w:rsidRDefault="00794651" w:rsidP="00794651">
      <w:pPr>
        <w:spacing w:before="17"/>
        <w:contextualSpacing/>
        <w:jc w:val="both"/>
        <w:rPr>
          <w:rFonts w:cs="Arial"/>
          <w:lang w:val="es-ES_tradnl"/>
        </w:rPr>
      </w:pPr>
    </w:p>
    <w:p w14:paraId="7BFAD82F" w14:textId="77777777" w:rsidR="00794651" w:rsidRPr="005F2C03" w:rsidRDefault="00794651" w:rsidP="00C4639A">
      <w:pPr>
        <w:widowControl w:val="0"/>
        <w:spacing w:before="36"/>
        <w:ind w:right="65"/>
        <w:jc w:val="both"/>
        <w:rPr>
          <w:rFonts w:cs="Arial"/>
          <w:b/>
          <w:bCs/>
          <w:lang w:val="es-ES_tradnl"/>
        </w:rPr>
      </w:pPr>
      <w:r w:rsidRPr="005F2C03">
        <w:rPr>
          <w:rFonts w:cs="Arial"/>
          <w:b/>
          <w:bCs/>
        </w:rPr>
        <w:t xml:space="preserve">El Mercado Asegurador - Sector terciario o de servicios: </w:t>
      </w:r>
      <w:r w:rsidRPr="005F2C03">
        <w:rPr>
          <w:rFonts w:cs="Arial"/>
          <w:b/>
          <w:bCs/>
        </w:rPr>
        <w:tab/>
      </w:r>
    </w:p>
    <w:p w14:paraId="61448C44" w14:textId="77777777" w:rsidR="00794651" w:rsidRPr="005F2C03" w:rsidRDefault="00794651" w:rsidP="00794651">
      <w:pPr>
        <w:ind w:left="222" w:right="104"/>
        <w:contextualSpacing/>
        <w:jc w:val="both"/>
        <w:rPr>
          <w:rFonts w:eastAsia="Arial Narrow" w:cs="Arial"/>
          <w:b/>
          <w:bCs/>
          <w:spacing w:val="-2"/>
          <w:lang w:val="es-ES_tradnl"/>
        </w:rPr>
      </w:pPr>
    </w:p>
    <w:p w14:paraId="1DC5FD06" w14:textId="77777777" w:rsidR="00794651" w:rsidRPr="005F2C03" w:rsidRDefault="00794651" w:rsidP="00794651">
      <w:pPr>
        <w:ind w:right="104"/>
        <w:contextualSpacing/>
        <w:jc w:val="both"/>
        <w:rPr>
          <w:rFonts w:eastAsia="Arial Narrow" w:cs="Arial"/>
          <w:lang w:val="es-ES_tradnl"/>
        </w:rPr>
      </w:pPr>
      <w:r w:rsidRPr="005F2C03">
        <w:rPr>
          <w:rFonts w:eastAsia="Arial Narrow" w:cs="Arial"/>
          <w:spacing w:val="-2"/>
          <w:lang w:val="es-ES_tradnl"/>
        </w:rPr>
        <w:t>I</w:t>
      </w:r>
      <w:r w:rsidRPr="005F2C03">
        <w:rPr>
          <w:rFonts w:eastAsia="Arial Narrow" w:cs="Arial"/>
          <w:spacing w:val="1"/>
          <w:lang w:val="es-ES_tradnl"/>
        </w:rPr>
        <w:t>n</w:t>
      </w:r>
      <w:r w:rsidRPr="005F2C03">
        <w:rPr>
          <w:rFonts w:eastAsia="Arial Narrow" w:cs="Arial"/>
          <w:lang w:val="es-ES_tradnl"/>
        </w:rPr>
        <w:t>cluye</w:t>
      </w:r>
      <w:r w:rsidRPr="005F2C03">
        <w:rPr>
          <w:rFonts w:eastAsia="Arial Narrow" w:cs="Arial"/>
          <w:spacing w:val="23"/>
          <w:lang w:val="es-ES_tradnl"/>
        </w:rPr>
        <w:t xml:space="preserve"> </w:t>
      </w:r>
      <w:r w:rsidRPr="005F2C03">
        <w:rPr>
          <w:rFonts w:eastAsia="Arial Narrow" w:cs="Arial"/>
          <w:lang w:val="es-ES_tradnl"/>
        </w:rPr>
        <w:t>t</w:t>
      </w:r>
      <w:r w:rsidRPr="005F2C03">
        <w:rPr>
          <w:rFonts w:eastAsia="Arial Narrow" w:cs="Arial"/>
          <w:spacing w:val="1"/>
          <w:lang w:val="es-ES_tradnl"/>
        </w:rPr>
        <w:t>oda</w:t>
      </w:r>
      <w:r w:rsidRPr="005F2C03">
        <w:rPr>
          <w:rFonts w:eastAsia="Arial Narrow" w:cs="Arial"/>
          <w:lang w:val="es-ES_tradnl"/>
        </w:rPr>
        <w:t>s</w:t>
      </w:r>
      <w:r w:rsidRPr="005F2C03">
        <w:rPr>
          <w:rFonts w:eastAsia="Arial Narrow" w:cs="Arial"/>
          <w:spacing w:val="22"/>
          <w:lang w:val="es-ES_tradnl"/>
        </w:rPr>
        <w:t xml:space="preserve"> </w:t>
      </w:r>
      <w:r w:rsidRPr="005F2C03">
        <w:rPr>
          <w:rFonts w:eastAsia="Arial Narrow" w:cs="Arial"/>
          <w:spacing w:val="1"/>
          <w:lang w:val="es-ES_tradnl"/>
        </w:rPr>
        <w:t>a</w:t>
      </w:r>
      <w:r w:rsidRPr="005F2C03">
        <w:rPr>
          <w:rFonts w:eastAsia="Arial Narrow" w:cs="Arial"/>
          <w:spacing w:val="-1"/>
          <w:lang w:val="es-ES_tradnl"/>
        </w:rPr>
        <w:t>q</w:t>
      </w:r>
      <w:r w:rsidRPr="005F2C03">
        <w:rPr>
          <w:rFonts w:eastAsia="Arial Narrow" w:cs="Arial"/>
          <w:spacing w:val="1"/>
          <w:lang w:val="es-ES_tradnl"/>
        </w:rPr>
        <w:t>ue</w:t>
      </w:r>
      <w:r w:rsidRPr="005F2C03">
        <w:rPr>
          <w:rFonts w:eastAsia="Arial Narrow" w:cs="Arial"/>
          <w:lang w:val="es-ES_tradnl"/>
        </w:rPr>
        <w:t>l</w:t>
      </w:r>
      <w:r w:rsidRPr="005F2C03">
        <w:rPr>
          <w:rFonts w:eastAsia="Arial Narrow" w:cs="Arial"/>
          <w:spacing w:val="-1"/>
          <w:lang w:val="es-ES_tradnl"/>
        </w:rPr>
        <w:t>l</w:t>
      </w:r>
      <w:r w:rsidRPr="005F2C03">
        <w:rPr>
          <w:rFonts w:eastAsia="Arial Narrow" w:cs="Arial"/>
          <w:spacing w:val="1"/>
          <w:lang w:val="es-ES_tradnl"/>
        </w:rPr>
        <w:t>a</w:t>
      </w:r>
      <w:r w:rsidRPr="005F2C03">
        <w:rPr>
          <w:rFonts w:eastAsia="Arial Narrow" w:cs="Arial"/>
          <w:lang w:val="es-ES_tradnl"/>
        </w:rPr>
        <w:t>s</w:t>
      </w:r>
      <w:r w:rsidRPr="005F2C03">
        <w:rPr>
          <w:rFonts w:eastAsia="Arial Narrow" w:cs="Arial"/>
          <w:spacing w:val="24"/>
          <w:lang w:val="es-ES_tradnl"/>
        </w:rPr>
        <w:t xml:space="preserve"> </w:t>
      </w:r>
      <w:r w:rsidRPr="005F2C03">
        <w:rPr>
          <w:rFonts w:eastAsia="Arial Narrow" w:cs="Arial"/>
          <w:spacing w:val="1"/>
          <w:lang w:val="es-ES_tradnl"/>
        </w:rPr>
        <w:t>a</w:t>
      </w:r>
      <w:r w:rsidRPr="005F2C03">
        <w:rPr>
          <w:rFonts w:eastAsia="Arial Narrow" w:cs="Arial"/>
          <w:spacing w:val="-2"/>
          <w:lang w:val="es-ES_tradnl"/>
        </w:rPr>
        <w:t>c</w:t>
      </w:r>
      <w:r w:rsidRPr="005F2C03">
        <w:rPr>
          <w:rFonts w:eastAsia="Arial Narrow" w:cs="Arial"/>
          <w:lang w:val="es-ES_tradnl"/>
        </w:rPr>
        <w:t>tivid</w:t>
      </w:r>
      <w:r w:rsidRPr="005F2C03">
        <w:rPr>
          <w:rFonts w:eastAsia="Arial Narrow" w:cs="Arial"/>
          <w:spacing w:val="1"/>
          <w:lang w:val="es-ES_tradnl"/>
        </w:rPr>
        <w:t>a</w:t>
      </w:r>
      <w:r w:rsidRPr="005F2C03">
        <w:rPr>
          <w:rFonts w:eastAsia="Arial Narrow" w:cs="Arial"/>
          <w:spacing w:val="-1"/>
          <w:lang w:val="es-ES_tradnl"/>
        </w:rPr>
        <w:t>d</w:t>
      </w:r>
      <w:r w:rsidRPr="005F2C03">
        <w:rPr>
          <w:rFonts w:eastAsia="Arial Narrow" w:cs="Arial"/>
          <w:spacing w:val="1"/>
          <w:lang w:val="es-ES_tradnl"/>
        </w:rPr>
        <w:t>e</w:t>
      </w:r>
      <w:r w:rsidRPr="005F2C03">
        <w:rPr>
          <w:rFonts w:eastAsia="Arial Narrow" w:cs="Arial"/>
          <w:lang w:val="es-ES_tradnl"/>
        </w:rPr>
        <w:t>s</w:t>
      </w:r>
      <w:r w:rsidRPr="005F2C03">
        <w:rPr>
          <w:rFonts w:eastAsia="Arial Narrow" w:cs="Arial"/>
          <w:spacing w:val="22"/>
          <w:lang w:val="es-ES_tradnl"/>
        </w:rPr>
        <w:t xml:space="preserve"> </w:t>
      </w:r>
      <w:r w:rsidRPr="005F2C03">
        <w:rPr>
          <w:rFonts w:eastAsia="Arial Narrow" w:cs="Arial"/>
          <w:spacing w:val="1"/>
          <w:lang w:val="es-ES_tradnl"/>
        </w:rPr>
        <w:t>qu</w:t>
      </w:r>
      <w:r w:rsidRPr="005F2C03">
        <w:rPr>
          <w:rFonts w:eastAsia="Arial Narrow" w:cs="Arial"/>
          <w:lang w:val="es-ES_tradnl"/>
        </w:rPr>
        <w:t>e</w:t>
      </w:r>
      <w:r w:rsidRPr="005F2C03">
        <w:rPr>
          <w:rFonts w:eastAsia="Arial Narrow" w:cs="Arial"/>
          <w:spacing w:val="23"/>
          <w:lang w:val="es-ES_tradnl"/>
        </w:rPr>
        <w:t xml:space="preserve"> </w:t>
      </w:r>
      <w:r w:rsidRPr="005F2C03">
        <w:rPr>
          <w:rFonts w:eastAsia="Arial Narrow" w:cs="Arial"/>
          <w:spacing w:val="1"/>
          <w:lang w:val="es-ES_tradnl"/>
        </w:rPr>
        <w:t>n</w:t>
      </w:r>
      <w:r w:rsidRPr="005F2C03">
        <w:rPr>
          <w:rFonts w:eastAsia="Arial Narrow" w:cs="Arial"/>
          <w:lang w:val="es-ES_tradnl"/>
        </w:rPr>
        <w:t>o</w:t>
      </w:r>
      <w:r w:rsidRPr="005F2C03">
        <w:rPr>
          <w:rFonts w:eastAsia="Arial Narrow" w:cs="Arial"/>
          <w:spacing w:val="23"/>
          <w:lang w:val="es-ES_tradnl"/>
        </w:rPr>
        <w:t xml:space="preserve"> </w:t>
      </w:r>
      <w:r w:rsidRPr="005F2C03">
        <w:rPr>
          <w:rFonts w:eastAsia="Arial Narrow" w:cs="Arial"/>
          <w:spacing w:val="1"/>
          <w:lang w:val="es-ES_tradnl"/>
        </w:rPr>
        <w:t>p</w:t>
      </w:r>
      <w:r w:rsidRPr="005F2C03">
        <w:rPr>
          <w:rFonts w:eastAsia="Arial Narrow" w:cs="Arial"/>
          <w:lang w:val="es-ES_tradnl"/>
        </w:rPr>
        <w:t>ro</w:t>
      </w:r>
      <w:r w:rsidRPr="005F2C03">
        <w:rPr>
          <w:rFonts w:eastAsia="Arial Narrow" w:cs="Arial"/>
          <w:spacing w:val="1"/>
          <w:lang w:val="es-ES_tradnl"/>
        </w:rPr>
        <w:t>du</w:t>
      </w:r>
      <w:r w:rsidRPr="005F2C03">
        <w:rPr>
          <w:rFonts w:eastAsia="Arial Narrow" w:cs="Arial"/>
          <w:spacing w:val="-2"/>
          <w:lang w:val="es-ES_tradnl"/>
        </w:rPr>
        <w:t>c</w:t>
      </w:r>
      <w:r w:rsidRPr="005F2C03">
        <w:rPr>
          <w:rFonts w:eastAsia="Arial Narrow" w:cs="Arial"/>
          <w:spacing w:val="1"/>
          <w:lang w:val="es-ES_tradnl"/>
        </w:rPr>
        <w:t>e</w:t>
      </w:r>
      <w:r w:rsidRPr="005F2C03">
        <w:rPr>
          <w:rFonts w:eastAsia="Arial Narrow" w:cs="Arial"/>
          <w:lang w:val="es-ES_tradnl"/>
        </w:rPr>
        <w:t>n</w:t>
      </w:r>
      <w:r w:rsidRPr="005F2C03">
        <w:rPr>
          <w:rFonts w:eastAsia="Arial Narrow" w:cs="Arial"/>
          <w:spacing w:val="23"/>
          <w:lang w:val="es-ES_tradnl"/>
        </w:rPr>
        <w:t xml:space="preserve"> </w:t>
      </w:r>
      <w:r w:rsidRPr="005F2C03">
        <w:rPr>
          <w:rFonts w:eastAsia="Arial Narrow" w:cs="Arial"/>
          <w:spacing w:val="1"/>
          <w:lang w:val="es-ES_tradnl"/>
        </w:rPr>
        <w:t>u</w:t>
      </w:r>
      <w:r w:rsidRPr="005F2C03">
        <w:rPr>
          <w:rFonts w:eastAsia="Arial Narrow" w:cs="Arial"/>
          <w:spacing w:val="-1"/>
          <w:lang w:val="es-ES_tradnl"/>
        </w:rPr>
        <w:t>n</w:t>
      </w:r>
      <w:r w:rsidRPr="005F2C03">
        <w:rPr>
          <w:rFonts w:eastAsia="Arial Narrow" w:cs="Arial"/>
          <w:lang w:val="es-ES_tradnl"/>
        </w:rPr>
        <w:t>a</w:t>
      </w:r>
      <w:r w:rsidRPr="005F2C03">
        <w:rPr>
          <w:rFonts w:eastAsia="Arial Narrow" w:cs="Arial"/>
          <w:spacing w:val="25"/>
          <w:lang w:val="es-ES_tradnl"/>
        </w:rPr>
        <w:t xml:space="preserve"> </w:t>
      </w:r>
      <w:r w:rsidRPr="005F2C03">
        <w:rPr>
          <w:rFonts w:eastAsia="Arial Narrow" w:cs="Arial"/>
          <w:spacing w:val="-1"/>
          <w:lang w:val="es-ES_tradnl"/>
        </w:rPr>
        <w:t>m</w:t>
      </w:r>
      <w:r w:rsidRPr="005F2C03">
        <w:rPr>
          <w:rFonts w:eastAsia="Arial Narrow" w:cs="Arial"/>
          <w:spacing w:val="1"/>
          <w:lang w:val="es-ES_tradnl"/>
        </w:rPr>
        <w:t>e</w:t>
      </w:r>
      <w:r w:rsidRPr="005F2C03">
        <w:rPr>
          <w:rFonts w:eastAsia="Arial Narrow" w:cs="Arial"/>
          <w:lang w:val="es-ES_tradnl"/>
        </w:rPr>
        <w:t>rca</w:t>
      </w:r>
      <w:r w:rsidRPr="005F2C03">
        <w:rPr>
          <w:rFonts w:eastAsia="Arial Narrow" w:cs="Arial"/>
          <w:spacing w:val="1"/>
          <w:lang w:val="es-ES_tradnl"/>
        </w:rPr>
        <w:t>n</w:t>
      </w:r>
      <w:r w:rsidRPr="005F2C03">
        <w:rPr>
          <w:rFonts w:eastAsia="Arial Narrow" w:cs="Arial"/>
          <w:lang w:val="es-ES_tradnl"/>
        </w:rPr>
        <w:t>cía</w:t>
      </w:r>
      <w:r w:rsidRPr="005F2C03">
        <w:rPr>
          <w:rFonts w:eastAsia="Arial Narrow" w:cs="Arial"/>
          <w:spacing w:val="23"/>
          <w:lang w:val="es-ES_tradnl"/>
        </w:rPr>
        <w:t xml:space="preserve"> </w:t>
      </w:r>
      <w:r w:rsidRPr="005F2C03">
        <w:rPr>
          <w:rFonts w:eastAsia="Arial Narrow" w:cs="Arial"/>
          <w:spacing w:val="1"/>
          <w:lang w:val="es-ES_tradnl"/>
        </w:rPr>
        <w:t>e</w:t>
      </w:r>
      <w:r w:rsidRPr="005F2C03">
        <w:rPr>
          <w:rFonts w:eastAsia="Arial Narrow" w:cs="Arial"/>
          <w:lang w:val="es-ES_tradnl"/>
        </w:rPr>
        <w:t>n</w:t>
      </w:r>
      <w:r w:rsidRPr="005F2C03">
        <w:rPr>
          <w:rFonts w:eastAsia="Arial Narrow" w:cs="Arial"/>
          <w:spacing w:val="25"/>
          <w:lang w:val="es-ES_tradnl"/>
        </w:rPr>
        <w:t xml:space="preserve"> </w:t>
      </w:r>
      <w:r w:rsidRPr="005F2C03">
        <w:rPr>
          <w:rFonts w:eastAsia="Arial Narrow" w:cs="Arial"/>
          <w:spacing w:val="-2"/>
          <w:lang w:val="es-ES_tradnl"/>
        </w:rPr>
        <w:t>s</w:t>
      </w:r>
      <w:r w:rsidRPr="005F2C03">
        <w:rPr>
          <w:rFonts w:eastAsia="Arial Narrow" w:cs="Arial"/>
          <w:lang w:val="es-ES_tradnl"/>
        </w:rPr>
        <w:t>í,</w:t>
      </w:r>
      <w:r w:rsidRPr="005F2C03">
        <w:rPr>
          <w:rFonts w:eastAsia="Arial Narrow" w:cs="Arial"/>
          <w:spacing w:val="25"/>
          <w:lang w:val="es-ES_tradnl"/>
        </w:rPr>
        <w:t xml:space="preserve"> </w:t>
      </w:r>
      <w:r w:rsidRPr="005F2C03">
        <w:rPr>
          <w:rFonts w:eastAsia="Arial Narrow" w:cs="Arial"/>
          <w:spacing w:val="-1"/>
          <w:lang w:val="es-ES_tradnl"/>
        </w:rPr>
        <w:t>p</w:t>
      </w:r>
      <w:r w:rsidRPr="005F2C03">
        <w:rPr>
          <w:rFonts w:eastAsia="Arial Narrow" w:cs="Arial"/>
          <w:spacing w:val="1"/>
          <w:lang w:val="es-ES_tradnl"/>
        </w:rPr>
        <w:t>e</w:t>
      </w:r>
      <w:r w:rsidRPr="005F2C03">
        <w:rPr>
          <w:rFonts w:eastAsia="Arial Narrow" w:cs="Arial"/>
          <w:spacing w:val="-3"/>
          <w:lang w:val="es-ES_tradnl"/>
        </w:rPr>
        <w:t>r</w:t>
      </w:r>
      <w:r w:rsidRPr="005F2C03">
        <w:rPr>
          <w:rFonts w:eastAsia="Arial Narrow" w:cs="Arial"/>
          <w:lang w:val="es-ES_tradnl"/>
        </w:rPr>
        <w:t xml:space="preserve">o </w:t>
      </w:r>
      <w:r w:rsidRPr="005F2C03">
        <w:rPr>
          <w:rFonts w:eastAsia="Arial Narrow" w:cs="Arial"/>
          <w:spacing w:val="1"/>
          <w:lang w:val="es-ES_tradnl"/>
        </w:rPr>
        <w:t>qu</w:t>
      </w:r>
      <w:r w:rsidRPr="005F2C03">
        <w:rPr>
          <w:rFonts w:eastAsia="Arial Narrow" w:cs="Arial"/>
          <w:lang w:val="es-ES_tradnl"/>
        </w:rPr>
        <w:t>e</w:t>
      </w:r>
      <w:r w:rsidRPr="005F2C03">
        <w:rPr>
          <w:rFonts w:eastAsia="Arial Narrow" w:cs="Arial"/>
          <w:spacing w:val="3"/>
          <w:lang w:val="es-ES_tradnl"/>
        </w:rPr>
        <w:t xml:space="preserve"> </w:t>
      </w:r>
      <w:r w:rsidRPr="005F2C03">
        <w:rPr>
          <w:rFonts w:eastAsia="Arial Narrow" w:cs="Arial"/>
          <w:lang w:val="es-ES_tradnl"/>
        </w:rPr>
        <w:t>s</w:t>
      </w:r>
      <w:r w:rsidRPr="005F2C03">
        <w:rPr>
          <w:rFonts w:eastAsia="Arial Narrow" w:cs="Arial"/>
          <w:spacing w:val="-1"/>
          <w:lang w:val="es-ES_tradnl"/>
        </w:rPr>
        <w:t>o</w:t>
      </w:r>
      <w:r w:rsidRPr="005F2C03">
        <w:rPr>
          <w:rFonts w:eastAsia="Arial Narrow" w:cs="Arial"/>
          <w:lang w:val="es-ES_tradnl"/>
        </w:rPr>
        <w:t>n</w:t>
      </w:r>
      <w:r w:rsidRPr="005F2C03">
        <w:rPr>
          <w:rFonts w:eastAsia="Arial Narrow" w:cs="Arial"/>
          <w:spacing w:val="3"/>
          <w:lang w:val="es-ES_tradnl"/>
        </w:rPr>
        <w:t xml:space="preserve"> </w:t>
      </w:r>
      <w:r w:rsidRPr="005F2C03">
        <w:rPr>
          <w:rFonts w:eastAsia="Arial Narrow" w:cs="Arial"/>
          <w:spacing w:val="1"/>
          <w:lang w:val="es-ES_tradnl"/>
        </w:rPr>
        <w:t>ne</w:t>
      </w:r>
      <w:r w:rsidRPr="005F2C03">
        <w:rPr>
          <w:rFonts w:eastAsia="Arial Narrow" w:cs="Arial"/>
          <w:lang w:val="es-ES_tradnl"/>
        </w:rPr>
        <w:t>c</w:t>
      </w:r>
      <w:r w:rsidRPr="005F2C03">
        <w:rPr>
          <w:rFonts w:eastAsia="Arial Narrow" w:cs="Arial"/>
          <w:spacing w:val="1"/>
          <w:lang w:val="es-ES_tradnl"/>
        </w:rPr>
        <w:t>e</w:t>
      </w:r>
      <w:r w:rsidRPr="005F2C03">
        <w:rPr>
          <w:rFonts w:eastAsia="Arial Narrow" w:cs="Arial"/>
          <w:spacing w:val="-2"/>
          <w:lang w:val="es-ES_tradnl"/>
        </w:rPr>
        <w:t>s</w:t>
      </w:r>
      <w:r w:rsidRPr="005F2C03">
        <w:rPr>
          <w:rFonts w:eastAsia="Arial Narrow" w:cs="Arial"/>
          <w:spacing w:val="1"/>
          <w:lang w:val="es-ES_tradnl"/>
        </w:rPr>
        <w:t>a</w:t>
      </w:r>
      <w:r w:rsidRPr="005F2C03">
        <w:rPr>
          <w:rFonts w:eastAsia="Arial Narrow" w:cs="Arial"/>
          <w:lang w:val="es-ES_tradnl"/>
        </w:rPr>
        <w:t>r</w:t>
      </w:r>
      <w:r w:rsidRPr="005F2C03">
        <w:rPr>
          <w:rFonts w:eastAsia="Arial Narrow" w:cs="Arial"/>
          <w:spacing w:val="-1"/>
          <w:lang w:val="es-ES_tradnl"/>
        </w:rPr>
        <w:t>i</w:t>
      </w:r>
      <w:r w:rsidRPr="005F2C03">
        <w:rPr>
          <w:rFonts w:eastAsia="Arial Narrow" w:cs="Arial"/>
          <w:spacing w:val="1"/>
          <w:lang w:val="es-ES_tradnl"/>
        </w:rPr>
        <w:t>a</w:t>
      </w:r>
      <w:r w:rsidRPr="005F2C03">
        <w:rPr>
          <w:rFonts w:eastAsia="Arial Narrow" w:cs="Arial"/>
          <w:lang w:val="es-ES_tradnl"/>
        </w:rPr>
        <w:t>s</w:t>
      </w:r>
      <w:r w:rsidRPr="005F2C03">
        <w:rPr>
          <w:rFonts w:eastAsia="Arial Narrow" w:cs="Arial"/>
          <w:spacing w:val="2"/>
          <w:lang w:val="es-ES_tradnl"/>
        </w:rPr>
        <w:t xml:space="preserve"> </w:t>
      </w:r>
      <w:r w:rsidRPr="005F2C03">
        <w:rPr>
          <w:rFonts w:eastAsia="Arial Narrow" w:cs="Arial"/>
          <w:spacing w:val="1"/>
          <w:lang w:val="es-ES_tradnl"/>
        </w:rPr>
        <w:t>pa</w:t>
      </w:r>
      <w:r w:rsidRPr="005F2C03">
        <w:rPr>
          <w:rFonts w:eastAsia="Arial Narrow" w:cs="Arial"/>
          <w:lang w:val="es-ES_tradnl"/>
        </w:rPr>
        <w:t xml:space="preserve">ra </w:t>
      </w:r>
      <w:r w:rsidRPr="005F2C03">
        <w:rPr>
          <w:rFonts w:eastAsia="Arial Narrow" w:cs="Arial"/>
          <w:spacing w:val="1"/>
          <w:lang w:val="es-ES_tradnl"/>
        </w:rPr>
        <w:t>e</w:t>
      </w:r>
      <w:r w:rsidRPr="005F2C03">
        <w:rPr>
          <w:rFonts w:eastAsia="Arial Narrow" w:cs="Arial"/>
          <w:lang w:val="es-ES_tradnl"/>
        </w:rPr>
        <w:t>l</w:t>
      </w:r>
      <w:r w:rsidRPr="005F2C03">
        <w:rPr>
          <w:rFonts w:eastAsia="Arial Narrow" w:cs="Arial"/>
          <w:spacing w:val="1"/>
          <w:lang w:val="es-ES_tradnl"/>
        </w:rPr>
        <w:t xml:space="preserve"> </w:t>
      </w:r>
      <w:r w:rsidRPr="005F2C03">
        <w:rPr>
          <w:rFonts w:eastAsia="Arial Narrow" w:cs="Arial"/>
          <w:spacing w:val="5"/>
          <w:lang w:val="es-ES_tradnl"/>
        </w:rPr>
        <w:t>f</w:t>
      </w:r>
      <w:r w:rsidRPr="005F2C03">
        <w:rPr>
          <w:rFonts w:eastAsia="Arial Narrow" w:cs="Arial"/>
          <w:spacing w:val="1"/>
          <w:lang w:val="es-ES_tradnl"/>
        </w:rPr>
        <w:t>un</w:t>
      </w:r>
      <w:r w:rsidRPr="005F2C03">
        <w:rPr>
          <w:rFonts w:eastAsia="Arial Narrow" w:cs="Arial"/>
          <w:lang w:val="es-ES_tradnl"/>
        </w:rPr>
        <w:t>cio</w:t>
      </w:r>
      <w:r w:rsidRPr="005F2C03">
        <w:rPr>
          <w:rFonts w:eastAsia="Arial Narrow" w:cs="Arial"/>
          <w:spacing w:val="-1"/>
          <w:lang w:val="es-ES_tradnl"/>
        </w:rPr>
        <w:t>n</w:t>
      </w:r>
      <w:r w:rsidRPr="005F2C03">
        <w:rPr>
          <w:rFonts w:eastAsia="Arial Narrow" w:cs="Arial"/>
          <w:spacing w:val="1"/>
          <w:lang w:val="es-ES_tradnl"/>
        </w:rPr>
        <w:t>a</w:t>
      </w:r>
      <w:r w:rsidRPr="005F2C03">
        <w:rPr>
          <w:rFonts w:eastAsia="Arial Narrow" w:cs="Arial"/>
          <w:spacing w:val="-1"/>
          <w:lang w:val="es-ES_tradnl"/>
        </w:rPr>
        <w:t>m</w:t>
      </w:r>
      <w:r w:rsidRPr="005F2C03">
        <w:rPr>
          <w:rFonts w:eastAsia="Arial Narrow" w:cs="Arial"/>
          <w:lang w:val="es-ES_tradnl"/>
        </w:rPr>
        <w:t>ie</w:t>
      </w:r>
      <w:r w:rsidRPr="005F2C03">
        <w:rPr>
          <w:rFonts w:eastAsia="Arial Narrow" w:cs="Arial"/>
          <w:spacing w:val="1"/>
          <w:lang w:val="es-ES_tradnl"/>
        </w:rPr>
        <w:t>n</w:t>
      </w:r>
      <w:r w:rsidRPr="005F2C03">
        <w:rPr>
          <w:rFonts w:eastAsia="Arial Narrow" w:cs="Arial"/>
          <w:spacing w:val="-2"/>
          <w:lang w:val="es-ES_tradnl"/>
        </w:rPr>
        <w:t>t</w:t>
      </w:r>
      <w:r w:rsidRPr="005F2C03">
        <w:rPr>
          <w:rFonts w:eastAsia="Arial Narrow" w:cs="Arial"/>
          <w:lang w:val="es-ES_tradnl"/>
        </w:rPr>
        <w:t>o</w:t>
      </w:r>
      <w:r w:rsidRPr="005F2C03">
        <w:rPr>
          <w:rFonts w:eastAsia="Arial Narrow" w:cs="Arial"/>
          <w:spacing w:val="3"/>
          <w:lang w:val="es-ES_tradnl"/>
        </w:rPr>
        <w:t xml:space="preserve"> </w:t>
      </w:r>
      <w:r w:rsidRPr="005F2C03">
        <w:rPr>
          <w:rFonts w:eastAsia="Arial Narrow" w:cs="Arial"/>
          <w:spacing w:val="1"/>
          <w:lang w:val="es-ES_tradnl"/>
        </w:rPr>
        <w:t>d</w:t>
      </w:r>
      <w:r w:rsidRPr="005F2C03">
        <w:rPr>
          <w:rFonts w:eastAsia="Arial Narrow" w:cs="Arial"/>
          <w:lang w:val="es-ES_tradnl"/>
        </w:rPr>
        <w:t>e</w:t>
      </w:r>
      <w:r w:rsidRPr="005F2C03">
        <w:rPr>
          <w:rFonts w:eastAsia="Arial Narrow" w:cs="Arial"/>
          <w:spacing w:val="3"/>
          <w:lang w:val="es-ES_tradnl"/>
        </w:rPr>
        <w:t xml:space="preserve"> </w:t>
      </w:r>
      <w:r w:rsidRPr="005F2C03">
        <w:rPr>
          <w:rFonts w:eastAsia="Arial Narrow" w:cs="Arial"/>
          <w:lang w:val="es-ES_tradnl"/>
        </w:rPr>
        <w:t>la</w:t>
      </w:r>
      <w:r w:rsidRPr="005F2C03">
        <w:rPr>
          <w:rFonts w:eastAsia="Arial Narrow" w:cs="Arial"/>
          <w:spacing w:val="2"/>
          <w:lang w:val="es-ES_tradnl"/>
        </w:rPr>
        <w:t xml:space="preserve"> </w:t>
      </w:r>
      <w:r w:rsidRPr="005F2C03">
        <w:rPr>
          <w:rFonts w:eastAsia="Arial Narrow" w:cs="Arial"/>
          <w:spacing w:val="1"/>
          <w:lang w:val="es-ES_tradnl"/>
        </w:rPr>
        <w:t>e</w:t>
      </w:r>
      <w:r w:rsidRPr="005F2C03">
        <w:rPr>
          <w:rFonts w:eastAsia="Arial Narrow" w:cs="Arial"/>
          <w:spacing w:val="-2"/>
          <w:lang w:val="es-ES_tradnl"/>
        </w:rPr>
        <w:t>c</w:t>
      </w:r>
      <w:r w:rsidRPr="005F2C03">
        <w:rPr>
          <w:rFonts w:eastAsia="Arial Narrow" w:cs="Arial"/>
          <w:spacing w:val="1"/>
          <w:lang w:val="es-ES_tradnl"/>
        </w:rPr>
        <w:t>ono</w:t>
      </w:r>
      <w:r w:rsidRPr="005F2C03">
        <w:rPr>
          <w:rFonts w:eastAsia="Arial Narrow" w:cs="Arial"/>
          <w:spacing w:val="-1"/>
          <w:lang w:val="es-ES_tradnl"/>
        </w:rPr>
        <w:t>m</w:t>
      </w:r>
      <w:r w:rsidRPr="005F2C03">
        <w:rPr>
          <w:rFonts w:eastAsia="Arial Narrow" w:cs="Arial"/>
          <w:lang w:val="es-ES_tradnl"/>
        </w:rPr>
        <w:t>í</w:t>
      </w:r>
      <w:r w:rsidRPr="005F2C03">
        <w:rPr>
          <w:rFonts w:eastAsia="Arial Narrow" w:cs="Arial"/>
          <w:spacing w:val="-1"/>
          <w:lang w:val="es-ES_tradnl"/>
        </w:rPr>
        <w:t>a</w:t>
      </w:r>
      <w:r w:rsidRPr="005F2C03">
        <w:rPr>
          <w:rFonts w:eastAsia="Arial Narrow" w:cs="Arial"/>
          <w:lang w:val="es-ES_tradnl"/>
        </w:rPr>
        <w:t>.</w:t>
      </w:r>
      <w:r w:rsidRPr="005F2C03">
        <w:rPr>
          <w:rFonts w:eastAsia="Arial Narrow" w:cs="Arial"/>
          <w:spacing w:val="2"/>
          <w:lang w:val="es-ES_tradnl"/>
        </w:rPr>
        <w:t xml:space="preserve"> </w:t>
      </w:r>
      <w:r w:rsidRPr="005F2C03">
        <w:rPr>
          <w:rFonts w:eastAsia="Arial Narrow" w:cs="Arial"/>
          <w:lang w:val="es-ES_tradnl"/>
        </w:rPr>
        <w:t>Como</w:t>
      </w:r>
      <w:r w:rsidRPr="005F2C03">
        <w:rPr>
          <w:rFonts w:eastAsia="Arial Narrow" w:cs="Arial"/>
          <w:spacing w:val="3"/>
          <w:lang w:val="es-ES_tradnl"/>
        </w:rPr>
        <w:t xml:space="preserve"> </w:t>
      </w:r>
      <w:r w:rsidRPr="005F2C03">
        <w:rPr>
          <w:rFonts w:eastAsia="Arial Narrow" w:cs="Arial"/>
          <w:spacing w:val="1"/>
          <w:lang w:val="es-ES_tradnl"/>
        </w:rPr>
        <w:t>e</w:t>
      </w:r>
      <w:r w:rsidRPr="005F2C03">
        <w:rPr>
          <w:rFonts w:eastAsia="Arial Narrow" w:cs="Arial"/>
          <w:lang w:val="es-ES_tradnl"/>
        </w:rPr>
        <w:t>jempl</w:t>
      </w:r>
      <w:r w:rsidRPr="005F2C03">
        <w:rPr>
          <w:rFonts w:eastAsia="Arial Narrow" w:cs="Arial"/>
          <w:spacing w:val="1"/>
          <w:lang w:val="es-ES_tradnl"/>
        </w:rPr>
        <w:t>o</w:t>
      </w:r>
      <w:r w:rsidRPr="005F2C03">
        <w:rPr>
          <w:rFonts w:eastAsia="Arial Narrow" w:cs="Arial"/>
          <w:lang w:val="es-ES_tradnl"/>
        </w:rPr>
        <w:t>s</w:t>
      </w:r>
      <w:r w:rsidRPr="005F2C03">
        <w:rPr>
          <w:rFonts w:eastAsia="Arial Narrow" w:cs="Arial"/>
          <w:spacing w:val="2"/>
          <w:lang w:val="es-ES_tradnl"/>
        </w:rPr>
        <w:t xml:space="preserve"> </w:t>
      </w:r>
      <w:r w:rsidRPr="005F2C03">
        <w:rPr>
          <w:rFonts w:eastAsia="Arial Narrow" w:cs="Arial"/>
          <w:spacing w:val="-1"/>
          <w:lang w:val="es-ES_tradnl"/>
        </w:rPr>
        <w:t>d</w:t>
      </w:r>
      <w:r w:rsidRPr="005F2C03">
        <w:rPr>
          <w:rFonts w:eastAsia="Arial Narrow" w:cs="Arial"/>
          <w:lang w:val="es-ES_tradnl"/>
        </w:rPr>
        <w:t>e</w:t>
      </w:r>
      <w:r w:rsidRPr="005F2C03">
        <w:rPr>
          <w:rFonts w:eastAsia="Arial Narrow" w:cs="Arial"/>
          <w:spacing w:val="3"/>
          <w:lang w:val="es-ES_tradnl"/>
        </w:rPr>
        <w:t xml:space="preserve"> </w:t>
      </w:r>
      <w:r w:rsidRPr="005F2C03">
        <w:rPr>
          <w:rFonts w:eastAsia="Arial Narrow" w:cs="Arial"/>
          <w:spacing w:val="1"/>
          <w:lang w:val="es-ES_tradnl"/>
        </w:rPr>
        <w:t>e</w:t>
      </w:r>
      <w:r w:rsidRPr="005F2C03">
        <w:rPr>
          <w:rFonts w:eastAsia="Arial Narrow" w:cs="Arial"/>
          <w:lang w:val="es-ES_tradnl"/>
        </w:rPr>
        <w:t>l</w:t>
      </w:r>
      <w:r w:rsidRPr="005F2C03">
        <w:rPr>
          <w:rFonts w:eastAsia="Arial Narrow" w:cs="Arial"/>
          <w:spacing w:val="-1"/>
          <w:lang w:val="es-ES_tradnl"/>
        </w:rPr>
        <w:t>l</w:t>
      </w:r>
      <w:r w:rsidRPr="005F2C03">
        <w:rPr>
          <w:rFonts w:eastAsia="Arial Narrow" w:cs="Arial"/>
          <w:lang w:val="es-ES_tradnl"/>
        </w:rPr>
        <w:t>o</w:t>
      </w:r>
      <w:r w:rsidRPr="005F2C03">
        <w:rPr>
          <w:rFonts w:eastAsia="Arial Narrow" w:cs="Arial"/>
          <w:spacing w:val="3"/>
          <w:lang w:val="es-ES_tradnl"/>
        </w:rPr>
        <w:t xml:space="preserve"> </w:t>
      </w:r>
      <w:r w:rsidRPr="005F2C03">
        <w:rPr>
          <w:rFonts w:eastAsia="Arial Narrow" w:cs="Arial"/>
          <w:lang w:val="es-ES_tradnl"/>
        </w:rPr>
        <w:t>t</w:t>
      </w:r>
      <w:r w:rsidRPr="005F2C03">
        <w:rPr>
          <w:rFonts w:eastAsia="Arial Narrow" w:cs="Arial"/>
          <w:spacing w:val="1"/>
          <w:lang w:val="es-ES_tradnl"/>
        </w:rPr>
        <w:t>ene</w:t>
      </w:r>
      <w:r w:rsidRPr="005F2C03">
        <w:rPr>
          <w:rFonts w:eastAsia="Arial Narrow" w:cs="Arial"/>
          <w:spacing w:val="-3"/>
          <w:lang w:val="es-ES_tradnl"/>
        </w:rPr>
        <w:t>m</w:t>
      </w:r>
      <w:r w:rsidRPr="005F2C03">
        <w:rPr>
          <w:rFonts w:eastAsia="Arial Narrow" w:cs="Arial"/>
          <w:spacing w:val="1"/>
          <w:lang w:val="es-ES_tradnl"/>
        </w:rPr>
        <w:t>o</w:t>
      </w:r>
      <w:r w:rsidRPr="005F2C03">
        <w:rPr>
          <w:rFonts w:eastAsia="Arial Narrow" w:cs="Arial"/>
          <w:lang w:val="es-ES_tradnl"/>
        </w:rPr>
        <w:t>s</w:t>
      </w:r>
      <w:r w:rsidRPr="005F2C03">
        <w:rPr>
          <w:rFonts w:eastAsia="Arial Narrow" w:cs="Arial"/>
          <w:spacing w:val="2"/>
          <w:lang w:val="es-ES_tradnl"/>
        </w:rPr>
        <w:t xml:space="preserve"> </w:t>
      </w:r>
      <w:r w:rsidRPr="005F2C03">
        <w:rPr>
          <w:rFonts w:eastAsia="Arial Narrow" w:cs="Arial"/>
          <w:spacing w:val="1"/>
          <w:lang w:val="es-ES_tradnl"/>
        </w:rPr>
        <w:t>e</w:t>
      </w:r>
      <w:r w:rsidRPr="005F2C03">
        <w:rPr>
          <w:rFonts w:eastAsia="Arial Narrow" w:cs="Arial"/>
          <w:lang w:val="es-ES_tradnl"/>
        </w:rPr>
        <w:t>l c</w:t>
      </w:r>
      <w:r w:rsidRPr="005F2C03">
        <w:rPr>
          <w:rFonts w:eastAsia="Arial Narrow" w:cs="Arial"/>
          <w:spacing w:val="1"/>
          <w:lang w:val="es-ES_tradnl"/>
        </w:rPr>
        <w:t>o</w:t>
      </w:r>
      <w:r w:rsidRPr="005F2C03">
        <w:rPr>
          <w:rFonts w:eastAsia="Arial Narrow" w:cs="Arial"/>
          <w:spacing w:val="-1"/>
          <w:lang w:val="es-ES_tradnl"/>
        </w:rPr>
        <w:t>m</w:t>
      </w:r>
      <w:r w:rsidRPr="005F2C03">
        <w:rPr>
          <w:rFonts w:eastAsia="Arial Narrow" w:cs="Arial"/>
          <w:spacing w:val="1"/>
          <w:lang w:val="es-ES_tradnl"/>
        </w:rPr>
        <w:t>e</w:t>
      </w:r>
      <w:r w:rsidRPr="005F2C03">
        <w:rPr>
          <w:rFonts w:eastAsia="Arial Narrow" w:cs="Arial"/>
          <w:lang w:val="es-ES_tradnl"/>
        </w:rPr>
        <w:t>rc</w:t>
      </w:r>
      <w:r w:rsidRPr="005F2C03">
        <w:rPr>
          <w:rFonts w:eastAsia="Arial Narrow" w:cs="Arial"/>
          <w:spacing w:val="-1"/>
          <w:lang w:val="es-ES_tradnl"/>
        </w:rPr>
        <w:t>i</w:t>
      </w:r>
      <w:r w:rsidRPr="005F2C03">
        <w:rPr>
          <w:rFonts w:eastAsia="Arial Narrow" w:cs="Arial"/>
          <w:spacing w:val="1"/>
          <w:lang w:val="es-ES_tradnl"/>
        </w:rPr>
        <w:t>o</w:t>
      </w:r>
      <w:r w:rsidRPr="005F2C03">
        <w:rPr>
          <w:rFonts w:eastAsia="Arial Narrow" w:cs="Arial"/>
          <w:lang w:val="es-ES_tradnl"/>
        </w:rPr>
        <w:t>,</w:t>
      </w:r>
      <w:r w:rsidRPr="005F2C03">
        <w:rPr>
          <w:rFonts w:eastAsia="Arial Narrow" w:cs="Arial"/>
          <w:spacing w:val="3"/>
          <w:lang w:val="es-ES_tradnl"/>
        </w:rPr>
        <w:t xml:space="preserve"> </w:t>
      </w:r>
      <w:r w:rsidRPr="005F2C03">
        <w:rPr>
          <w:rFonts w:eastAsia="Arial Narrow" w:cs="Arial"/>
          <w:lang w:val="es-ES_tradnl"/>
        </w:rPr>
        <w:t>los</w:t>
      </w:r>
      <w:r w:rsidRPr="005F2C03">
        <w:rPr>
          <w:rFonts w:eastAsia="Arial Narrow" w:cs="Arial"/>
          <w:spacing w:val="3"/>
          <w:lang w:val="es-ES_tradnl"/>
        </w:rPr>
        <w:t xml:space="preserve"> </w:t>
      </w:r>
      <w:r w:rsidRPr="005F2C03">
        <w:rPr>
          <w:rFonts w:eastAsia="Arial Narrow" w:cs="Arial"/>
          <w:spacing w:val="-3"/>
          <w:lang w:val="es-ES_tradnl"/>
        </w:rPr>
        <w:t>r</w:t>
      </w:r>
      <w:r w:rsidRPr="005F2C03">
        <w:rPr>
          <w:rFonts w:eastAsia="Arial Narrow" w:cs="Arial"/>
          <w:spacing w:val="1"/>
          <w:lang w:val="es-ES_tradnl"/>
        </w:rPr>
        <w:t>e</w:t>
      </w:r>
      <w:r w:rsidRPr="005F2C03">
        <w:rPr>
          <w:rFonts w:eastAsia="Arial Narrow" w:cs="Arial"/>
          <w:lang w:val="es-ES_tradnl"/>
        </w:rPr>
        <w:t>st</w:t>
      </w:r>
      <w:r w:rsidRPr="005F2C03">
        <w:rPr>
          <w:rFonts w:eastAsia="Arial Narrow" w:cs="Arial"/>
          <w:spacing w:val="1"/>
          <w:lang w:val="es-ES_tradnl"/>
        </w:rPr>
        <w:t>au</w:t>
      </w:r>
      <w:r w:rsidRPr="005F2C03">
        <w:rPr>
          <w:rFonts w:eastAsia="Arial Narrow" w:cs="Arial"/>
          <w:spacing w:val="-3"/>
          <w:lang w:val="es-ES_tradnl"/>
        </w:rPr>
        <w:t>r</w:t>
      </w:r>
      <w:r w:rsidRPr="005F2C03">
        <w:rPr>
          <w:rFonts w:eastAsia="Arial Narrow" w:cs="Arial"/>
          <w:spacing w:val="1"/>
          <w:lang w:val="es-ES_tradnl"/>
        </w:rPr>
        <w:t>an</w:t>
      </w:r>
      <w:r w:rsidRPr="005F2C03">
        <w:rPr>
          <w:rFonts w:eastAsia="Arial Narrow" w:cs="Arial"/>
          <w:spacing w:val="-2"/>
          <w:lang w:val="es-ES_tradnl"/>
        </w:rPr>
        <w:t>t</w:t>
      </w:r>
      <w:r w:rsidRPr="005F2C03">
        <w:rPr>
          <w:rFonts w:eastAsia="Arial Narrow" w:cs="Arial"/>
          <w:spacing w:val="1"/>
          <w:lang w:val="es-ES_tradnl"/>
        </w:rPr>
        <w:t>e</w:t>
      </w:r>
      <w:r w:rsidRPr="005F2C03">
        <w:rPr>
          <w:rFonts w:eastAsia="Arial Narrow" w:cs="Arial"/>
          <w:spacing w:val="3"/>
          <w:lang w:val="es-ES_tradnl"/>
        </w:rPr>
        <w:t>s</w:t>
      </w:r>
      <w:r w:rsidRPr="005F2C03">
        <w:rPr>
          <w:rFonts w:eastAsia="Arial Narrow" w:cs="Arial"/>
          <w:lang w:val="es-ES_tradnl"/>
        </w:rPr>
        <w:t>, los</w:t>
      </w:r>
      <w:r w:rsidRPr="005F2C03">
        <w:rPr>
          <w:rFonts w:eastAsia="Arial Narrow" w:cs="Arial"/>
          <w:spacing w:val="3"/>
          <w:lang w:val="es-ES_tradnl"/>
        </w:rPr>
        <w:t xml:space="preserve"> </w:t>
      </w:r>
      <w:r w:rsidRPr="005F2C03">
        <w:rPr>
          <w:rFonts w:eastAsia="Arial Narrow" w:cs="Arial"/>
          <w:spacing w:val="-1"/>
          <w:lang w:val="es-ES_tradnl"/>
        </w:rPr>
        <w:t>h</w:t>
      </w:r>
      <w:r w:rsidRPr="005F2C03">
        <w:rPr>
          <w:rFonts w:eastAsia="Arial Narrow" w:cs="Arial"/>
          <w:spacing w:val="1"/>
          <w:lang w:val="es-ES_tradnl"/>
        </w:rPr>
        <w:t>o</w:t>
      </w:r>
      <w:r w:rsidRPr="005F2C03">
        <w:rPr>
          <w:rFonts w:eastAsia="Arial Narrow" w:cs="Arial"/>
          <w:lang w:val="es-ES_tradnl"/>
        </w:rPr>
        <w:t>t</w:t>
      </w:r>
      <w:r w:rsidRPr="005F2C03">
        <w:rPr>
          <w:rFonts w:eastAsia="Arial Narrow" w:cs="Arial"/>
          <w:spacing w:val="1"/>
          <w:lang w:val="es-ES_tradnl"/>
        </w:rPr>
        <w:t>e</w:t>
      </w:r>
      <w:r w:rsidRPr="005F2C03">
        <w:rPr>
          <w:rFonts w:eastAsia="Arial Narrow" w:cs="Arial"/>
          <w:lang w:val="es-ES_tradnl"/>
        </w:rPr>
        <w:t>le</w:t>
      </w:r>
      <w:r w:rsidRPr="005F2C03">
        <w:rPr>
          <w:rFonts w:eastAsia="Arial Narrow" w:cs="Arial"/>
          <w:spacing w:val="-2"/>
          <w:lang w:val="es-ES_tradnl"/>
        </w:rPr>
        <w:t>s</w:t>
      </w:r>
      <w:r w:rsidRPr="005F2C03">
        <w:rPr>
          <w:rFonts w:eastAsia="Arial Narrow" w:cs="Arial"/>
          <w:lang w:val="es-ES_tradnl"/>
        </w:rPr>
        <w:t>,</w:t>
      </w:r>
      <w:r w:rsidRPr="005F2C03">
        <w:rPr>
          <w:rFonts w:eastAsia="Arial Narrow" w:cs="Arial"/>
          <w:spacing w:val="3"/>
          <w:lang w:val="es-ES_tradnl"/>
        </w:rPr>
        <w:t xml:space="preserve"> </w:t>
      </w:r>
      <w:r w:rsidRPr="005F2C03">
        <w:rPr>
          <w:rFonts w:eastAsia="Arial Narrow" w:cs="Arial"/>
          <w:spacing w:val="1"/>
          <w:lang w:val="es-ES_tradnl"/>
        </w:rPr>
        <w:t>e</w:t>
      </w:r>
      <w:r w:rsidRPr="005F2C03">
        <w:rPr>
          <w:rFonts w:eastAsia="Arial Narrow" w:cs="Arial"/>
          <w:lang w:val="es-ES_tradnl"/>
        </w:rPr>
        <w:t>l tra</w:t>
      </w:r>
      <w:r w:rsidRPr="005F2C03">
        <w:rPr>
          <w:rFonts w:eastAsia="Arial Narrow" w:cs="Arial"/>
          <w:spacing w:val="1"/>
          <w:lang w:val="es-ES_tradnl"/>
        </w:rPr>
        <w:t>n</w:t>
      </w:r>
      <w:r w:rsidRPr="005F2C03">
        <w:rPr>
          <w:rFonts w:eastAsia="Arial Narrow" w:cs="Arial"/>
          <w:spacing w:val="-2"/>
          <w:lang w:val="es-ES_tradnl"/>
        </w:rPr>
        <w:t>s</w:t>
      </w:r>
      <w:r w:rsidRPr="005F2C03">
        <w:rPr>
          <w:rFonts w:eastAsia="Arial Narrow" w:cs="Arial"/>
          <w:spacing w:val="1"/>
          <w:lang w:val="es-ES_tradnl"/>
        </w:rPr>
        <w:t>po</w:t>
      </w:r>
      <w:r w:rsidRPr="005F2C03">
        <w:rPr>
          <w:rFonts w:eastAsia="Arial Narrow" w:cs="Arial"/>
          <w:lang w:val="es-ES_tradnl"/>
        </w:rPr>
        <w:t>rt</w:t>
      </w:r>
      <w:r w:rsidRPr="005F2C03">
        <w:rPr>
          <w:rFonts w:eastAsia="Arial Narrow" w:cs="Arial"/>
          <w:spacing w:val="-2"/>
          <w:lang w:val="es-ES_tradnl"/>
        </w:rPr>
        <w:t>e</w:t>
      </w:r>
      <w:r w:rsidRPr="005F2C03">
        <w:rPr>
          <w:rFonts w:eastAsia="Arial Narrow" w:cs="Arial"/>
          <w:lang w:val="es-ES_tradnl"/>
        </w:rPr>
        <w:t>,</w:t>
      </w:r>
      <w:r w:rsidRPr="005F2C03">
        <w:rPr>
          <w:rFonts w:eastAsia="Arial Narrow" w:cs="Arial"/>
          <w:spacing w:val="3"/>
          <w:lang w:val="es-ES_tradnl"/>
        </w:rPr>
        <w:t xml:space="preserve"> </w:t>
      </w:r>
      <w:r w:rsidRPr="005F2C03">
        <w:rPr>
          <w:rFonts w:eastAsia="Arial Narrow" w:cs="Arial"/>
          <w:spacing w:val="-3"/>
          <w:lang w:val="es-ES_tradnl"/>
        </w:rPr>
        <w:t>l</w:t>
      </w:r>
      <w:r w:rsidRPr="005F2C03">
        <w:rPr>
          <w:rFonts w:eastAsia="Arial Narrow" w:cs="Arial"/>
          <w:spacing w:val="1"/>
          <w:lang w:val="es-ES_tradnl"/>
        </w:rPr>
        <w:t>o</w:t>
      </w:r>
      <w:r w:rsidRPr="005F2C03">
        <w:rPr>
          <w:rFonts w:eastAsia="Arial Narrow" w:cs="Arial"/>
          <w:lang w:val="es-ES_tradnl"/>
        </w:rPr>
        <w:t>s</w:t>
      </w:r>
      <w:r w:rsidRPr="005F2C03">
        <w:rPr>
          <w:rFonts w:eastAsia="Arial Narrow" w:cs="Arial"/>
          <w:spacing w:val="2"/>
          <w:lang w:val="es-ES_tradnl"/>
        </w:rPr>
        <w:t xml:space="preserve"> </w:t>
      </w:r>
      <w:r w:rsidRPr="005F2C03">
        <w:rPr>
          <w:rFonts w:eastAsia="Arial Narrow" w:cs="Arial"/>
          <w:lang w:val="es-ES_tradnl"/>
        </w:rPr>
        <w:t>s</w:t>
      </w:r>
      <w:r w:rsidRPr="005F2C03">
        <w:rPr>
          <w:rFonts w:eastAsia="Arial Narrow" w:cs="Arial"/>
          <w:spacing w:val="1"/>
          <w:lang w:val="es-ES_tradnl"/>
        </w:rPr>
        <w:t>e</w:t>
      </w:r>
      <w:r w:rsidRPr="005F2C03">
        <w:rPr>
          <w:rFonts w:eastAsia="Arial Narrow" w:cs="Arial"/>
          <w:lang w:val="es-ES_tradnl"/>
        </w:rPr>
        <w:t>rv</w:t>
      </w:r>
      <w:r w:rsidRPr="005F2C03">
        <w:rPr>
          <w:rFonts w:eastAsia="Arial Narrow" w:cs="Arial"/>
          <w:spacing w:val="-1"/>
          <w:lang w:val="es-ES_tradnl"/>
        </w:rPr>
        <w:t>i</w:t>
      </w:r>
      <w:r w:rsidRPr="005F2C03">
        <w:rPr>
          <w:rFonts w:eastAsia="Arial Narrow" w:cs="Arial"/>
          <w:lang w:val="es-ES_tradnl"/>
        </w:rPr>
        <w:t>cios</w:t>
      </w:r>
      <w:r w:rsidRPr="005F2C03">
        <w:rPr>
          <w:rFonts w:eastAsia="Arial Narrow" w:cs="Arial"/>
          <w:spacing w:val="3"/>
          <w:lang w:val="es-ES_tradnl"/>
        </w:rPr>
        <w:t xml:space="preserve"> </w:t>
      </w:r>
      <w:r w:rsidRPr="005F2C03">
        <w:rPr>
          <w:rFonts w:eastAsia="Arial Narrow" w:cs="Arial"/>
          <w:lang w:val="es-ES_tradnl"/>
        </w:rPr>
        <w:t>f</w:t>
      </w:r>
      <w:r w:rsidRPr="005F2C03">
        <w:rPr>
          <w:rFonts w:eastAsia="Arial Narrow" w:cs="Arial"/>
          <w:spacing w:val="-2"/>
          <w:lang w:val="es-ES_tradnl"/>
        </w:rPr>
        <w:t>i</w:t>
      </w:r>
      <w:r w:rsidRPr="005F2C03">
        <w:rPr>
          <w:rFonts w:eastAsia="Arial Narrow" w:cs="Arial"/>
          <w:spacing w:val="1"/>
          <w:lang w:val="es-ES_tradnl"/>
        </w:rPr>
        <w:t>nan</w:t>
      </w:r>
      <w:r w:rsidRPr="005F2C03">
        <w:rPr>
          <w:rFonts w:eastAsia="Arial Narrow" w:cs="Arial"/>
          <w:lang w:val="es-ES_tradnl"/>
        </w:rPr>
        <w:t>cie</w:t>
      </w:r>
      <w:r w:rsidRPr="005F2C03">
        <w:rPr>
          <w:rFonts w:eastAsia="Arial Narrow" w:cs="Arial"/>
          <w:spacing w:val="-3"/>
          <w:lang w:val="es-ES_tradnl"/>
        </w:rPr>
        <w:t>r</w:t>
      </w:r>
      <w:r w:rsidRPr="005F2C03">
        <w:rPr>
          <w:rFonts w:eastAsia="Arial Narrow" w:cs="Arial"/>
          <w:spacing w:val="1"/>
          <w:lang w:val="es-ES_tradnl"/>
        </w:rPr>
        <w:t>o</w:t>
      </w:r>
      <w:r w:rsidRPr="005F2C03">
        <w:rPr>
          <w:rFonts w:eastAsia="Arial Narrow" w:cs="Arial"/>
          <w:lang w:val="es-ES_tradnl"/>
        </w:rPr>
        <w:t>s,</w:t>
      </w:r>
      <w:r w:rsidRPr="005F2C03">
        <w:rPr>
          <w:rFonts w:eastAsia="Arial Narrow" w:cs="Arial"/>
          <w:spacing w:val="3"/>
          <w:lang w:val="es-ES_tradnl"/>
        </w:rPr>
        <w:t xml:space="preserve"> </w:t>
      </w:r>
      <w:r w:rsidRPr="005F2C03">
        <w:rPr>
          <w:rFonts w:eastAsia="Arial Narrow" w:cs="Arial"/>
          <w:lang w:val="es-ES_tradnl"/>
        </w:rPr>
        <w:t>las c</w:t>
      </w:r>
      <w:r w:rsidRPr="005F2C03">
        <w:rPr>
          <w:rFonts w:eastAsia="Arial Narrow" w:cs="Arial"/>
          <w:spacing w:val="1"/>
          <w:lang w:val="es-ES_tradnl"/>
        </w:rPr>
        <w:t>o</w:t>
      </w:r>
      <w:r w:rsidRPr="005F2C03">
        <w:rPr>
          <w:rFonts w:eastAsia="Arial Narrow" w:cs="Arial"/>
          <w:spacing w:val="-1"/>
          <w:lang w:val="es-ES_tradnl"/>
        </w:rPr>
        <w:t>m</w:t>
      </w:r>
      <w:r w:rsidRPr="005F2C03">
        <w:rPr>
          <w:rFonts w:eastAsia="Arial Narrow" w:cs="Arial"/>
          <w:spacing w:val="1"/>
          <w:lang w:val="es-ES_tradnl"/>
        </w:rPr>
        <w:t>un</w:t>
      </w:r>
      <w:r w:rsidRPr="005F2C03">
        <w:rPr>
          <w:rFonts w:eastAsia="Arial Narrow" w:cs="Arial"/>
          <w:lang w:val="es-ES_tradnl"/>
        </w:rPr>
        <w:t>icac</w:t>
      </w:r>
      <w:r w:rsidRPr="005F2C03">
        <w:rPr>
          <w:rFonts w:eastAsia="Arial Narrow" w:cs="Arial"/>
          <w:spacing w:val="-3"/>
          <w:lang w:val="es-ES_tradnl"/>
        </w:rPr>
        <w:t>i</w:t>
      </w:r>
      <w:r w:rsidRPr="005F2C03">
        <w:rPr>
          <w:rFonts w:eastAsia="Arial Narrow" w:cs="Arial"/>
          <w:spacing w:val="1"/>
          <w:lang w:val="es-ES_tradnl"/>
        </w:rPr>
        <w:t>one</w:t>
      </w:r>
      <w:r w:rsidRPr="005F2C03">
        <w:rPr>
          <w:rFonts w:eastAsia="Arial Narrow" w:cs="Arial"/>
          <w:spacing w:val="-2"/>
          <w:lang w:val="es-ES_tradnl"/>
        </w:rPr>
        <w:t>s</w:t>
      </w:r>
      <w:r w:rsidRPr="005F2C03">
        <w:rPr>
          <w:rFonts w:eastAsia="Arial Narrow" w:cs="Arial"/>
          <w:lang w:val="es-ES_tradnl"/>
        </w:rPr>
        <w:t>, los</w:t>
      </w:r>
      <w:r w:rsidRPr="005F2C03">
        <w:rPr>
          <w:rFonts w:eastAsia="Arial Narrow" w:cs="Arial"/>
          <w:spacing w:val="1"/>
          <w:lang w:val="es-ES_tradnl"/>
        </w:rPr>
        <w:t xml:space="preserve"> </w:t>
      </w:r>
      <w:r w:rsidRPr="005F2C03">
        <w:rPr>
          <w:rFonts w:eastAsia="Arial Narrow" w:cs="Arial"/>
          <w:lang w:val="es-ES_tradnl"/>
        </w:rPr>
        <w:t>s</w:t>
      </w:r>
      <w:r w:rsidRPr="005F2C03">
        <w:rPr>
          <w:rFonts w:eastAsia="Arial Narrow" w:cs="Arial"/>
          <w:spacing w:val="1"/>
          <w:lang w:val="es-ES_tradnl"/>
        </w:rPr>
        <w:t>e</w:t>
      </w:r>
      <w:r w:rsidRPr="005F2C03">
        <w:rPr>
          <w:rFonts w:eastAsia="Arial Narrow" w:cs="Arial"/>
          <w:lang w:val="es-ES_tradnl"/>
        </w:rPr>
        <w:t>rv</w:t>
      </w:r>
      <w:r w:rsidRPr="005F2C03">
        <w:rPr>
          <w:rFonts w:eastAsia="Arial Narrow" w:cs="Arial"/>
          <w:spacing w:val="-1"/>
          <w:lang w:val="es-ES_tradnl"/>
        </w:rPr>
        <w:t>i</w:t>
      </w:r>
      <w:r w:rsidRPr="005F2C03">
        <w:rPr>
          <w:rFonts w:eastAsia="Arial Narrow" w:cs="Arial"/>
          <w:lang w:val="es-ES_tradnl"/>
        </w:rPr>
        <w:t>cios</w:t>
      </w:r>
      <w:r w:rsidRPr="005F2C03">
        <w:rPr>
          <w:rFonts w:eastAsia="Arial Narrow" w:cs="Arial"/>
          <w:spacing w:val="1"/>
          <w:lang w:val="es-ES_tradnl"/>
        </w:rPr>
        <w:t xml:space="preserve"> d</w:t>
      </w:r>
      <w:r w:rsidRPr="005F2C03">
        <w:rPr>
          <w:rFonts w:eastAsia="Arial Narrow" w:cs="Arial"/>
          <w:lang w:val="es-ES_tradnl"/>
        </w:rPr>
        <w:t>e</w:t>
      </w:r>
      <w:r w:rsidRPr="005F2C03">
        <w:rPr>
          <w:rFonts w:eastAsia="Arial Narrow" w:cs="Arial"/>
          <w:spacing w:val="-1"/>
          <w:lang w:val="es-ES_tradnl"/>
        </w:rPr>
        <w:t xml:space="preserve"> </w:t>
      </w:r>
      <w:r w:rsidRPr="005F2C03">
        <w:rPr>
          <w:rFonts w:eastAsia="Arial Narrow" w:cs="Arial"/>
          <w:spacing w:val="1"/>
          <w:lang w:val="es-ES_tradnl"/>
        </w:rPr>
        <w:t>e</w:t>
      </w:r>
      <w:r w:rsidRPr="005F2C03">
        <w:rPr>
          <w:rFonts w:eastAsia="Arial Narrow" w:cs="Arial"/>
          <w:spacing w:val="-1"/>
          <w:lang w:val="es-ES_tradnl"/>
        </w:rPr>
        <w:t>d</w:t>
      </w:r>
      <w:r w:rsidRPr="005F2C03">
        <w:rPr>
          <w:rFonts w:eastAsia="Arial Narrow" w:cs="Arial"/>
          <w:spacing w:val="1"/>
          <w:lang w:val="es-ES_tradnl"/>
        </w:rPr>
        <w:t>u</w:t>
      </w:r>
      <w:r w:rsidRPr="005F2C03">
        <w:rPr>
          <w:rFonts w:eastAsia="Arial Narrow" w:cs="Arial"/>
          <w:lang w:val="es-ES_tradnl"/>
        </w:rPr>
        <w:t>c</w:t>
      </w:r>
      <w:r w:rsidRPr="005F2C03">
        <w:rPr>
          <w:rFonts w:eastAsia="Arial Narrow" w:cs="Arial"/>
          <w:spacing w:val="1"/>
          <w:lang w:val="es-ES_tradnl"/>
        </w:rPr>
        <w:t>a</w:t>
      </w:r>
      <w:r w:rsidRPr="005F2C03">
        <w:rPr>
          <w:rFonts w:eastAsia="Arial Narrow" w:cs="Arial"/>
          <w:lang w:val="es-ES_tradnl"/>
        </w:rPr>
        <w:t>ci</w:t>
      </w:r>
      <w:r w:rsidRPr="005F2C03">
        <w:rPr>
          <w:rFonts w:eastAsia="Arial Narrow" w:cs="Arial"/>
          <w:spacing w:val="-2"/>
          <w:lang w:val="es-ES_tradnl"/>
        </w:rPr>
        <w:t>ó</w:t>
      </w:r>
      <w:r w:rsidRPr="005F2C03">
        <w:rPr>
          <w:rFonts w:eastAsia="Arial Narrow" w:cs="Arial"/>
          <w:spacing w:val="1"/>
          <w:lang w:val="es-ES_tradnl"/>
        </w:rPr>
        <w:t>n</w:t>
      </w:r>
      <w:r w:rsidRPr="005F2C03">
        <w:rPr>
          <w:rFonts w:eastAsia="Arial Narrow" w:cs="Arial"/>
          <w:lang w:val="es-ES_tradnl"/>
        </w:rPr>
        <w:t>,</w:t>
      </w:r>
      <w:r w:rsidRPr="005F2C03">
        <w:rPr>
          <w:rFonts w:eastAsia="Arial Narrow" w:cs="Arial"/>
          <w:spacing w:val="1"/>
          <w:lang w:val="es-ES_tradnl"/>
        </w:rPr>
        <w:t xml:space="preserve"> </w:t>
      </w:r>
      <w:r w:rsidRPr="005F2C03">
        <w:rPr>
          <w:rFonts w:eastAsia="Arial Narrow" w:cs="Arial"/>
          <w:spacing w:val="-3"/>
          <w:lang w:val="es-ES_tradnl"/>
        </w:rPr>
        <w:t>l</w:t>
      </w:r>
      <w:r w:rsidRPr="005F2C03">
        <w:rPr>
          <w:rFonts w:eastAsia="Arial Narrow" w:cs="Arial"/>
          <w:spacing w:val="1"/>
          <w:lang w:val="es-ES_tradnl"/>
        </w:rPr>
        <w:t>o</w:t>
      </w:r>
      <w:r w:rsidRPr="005F2C03">
        <w:rPr>
          <w:rFonts w:eastAsia="Arial Narrow" w:cs="Arial"/>
          <w:lang w:val="es-ES_tradnl"/>
        </w:rPr>
        <w:t>s s</w:t>
      </w:r>
      <w:r w:rsidRPr="005F2C03">
        <w:rPr>
          <w:rFonts w:eastAsia="Arial Narrow" w:cs="Arial"/>
          <w:spacing w:val="1"/>
          <w:lang w:val="es-ES_tradnl"/>
        </w:rPr>
        <w:t>e</w:t>
      </w:r>
      <w:r w:rsidRPr="005F2C03">
        <w:rPr>
          <w:rFonts w:eastAsia="Arial Narrow" w:cs="Arial"/>
          <w:lang w:val="es-ES_tradnl"/>
        </w:rPr>
        <w:t>rv</w:t>
      </w:r>
      <w:r w:rsidRPr="005F2C03">
        <w:rPr>
          <w:rFonts w:eastAsia="Arial Narrow" w:cs="Arial"/>
          <w:spacing w:val="-1"/>
          <w:lang w:val="es-ES_tradnl"/>
        </w:rPr>
        <w:t>i</w:t>
      </w:r>
      <w:r w:rsidRPr="005F2C03">
        <w:rPr>
          <w:rFonts w:eastAsia="Arial Narrow" w:cs="Arial"/>
          <w:lang w:val="es-ES_tradnl"/>
        </w:rPr>
        <w:t>cios</w:t>
      </w:r>
      <w:r w:rsidRPr="005F2C03">
        <w:rPr>
          <w:rFonts w:eastAsia="Arial Narrow" w:cs="Arial"/>
          <w:spacing w:val="4"/>
          <w:lang w:val="es-ES_tradnl"/>
        </w:rPr>
        <w:t xml:space="preserve"> </w:t>
      </w:r>
      <w:r w:rsidRPr="005F2C03">
        <w:rPr>
          <w:rFonts w:eastAsia="Arial Narrow" w:cs="Arial"/>
          <w:spacing w:val="1"/>
          <w:lang w:val="es-ES_tradnl"/>
        </w:rPr>
        <w:t>p</w:t>
      </w:r>
      <w:r w:rsidRPr="005F2C03">
        <w:rPr>
          <w:rFonts w:eastAsia="Arial Narrow" w:cs="Arial"/>
          <w:lang w:val="es-ES_tradnl"/>
        </w:rPr>
        <w:t>ro</w:t>
      </w:r>
      <w:r w:rsidRPr="005F2C03">
        <w:rPr>
          <w:rFonts w:eastAsia="Arial Narrow" w:cs="Arial"/>
          <w:spacing w:val="-2"/>
          <w:lang w:val="es-ES_tradnl"/>
        </w:rPr>
        <w:t>f</w:t>
      </w:r>
      <w:r w:rsidRPr="005F2C03">
        <w:rPr>
          <w:rFonts w:eastAsia="Arial Narrow" w:cs="Arial"/>
          <w:spacing w:val="1"/>
          <w:lang w:val="es-ES_tradnl"/>
        </w:rPr>
        <w:t>e</w:t>
      </w:r>
      <w:r w:rsidRPr="005F2C03">
        <w:rPr>
          <w:rFonts w:eastAsia="Arial Narrow" w:cs="Arial"/>
          <w:lang w:val="es-ES_tradnl"/>
        </w:rPr>
        <w:t>sio</w:t>
      </w:r>
      <w:r w:rsidRPr="005F2C03">
        <w:rPr>
          <w:rFonts w:eastAsia="Arial Narrow" w:cs="Arial"/>
          <w:spacing w:val="-1"/>
          <w:lang w:val="es-ES_tradnl"/>
        </w:rPr>
        <w:t>n</w:t>
      </w:r>
      <w:r w:rsidRPr="005F2C03">
        <w:rPr>
          <w:rFonts w:eastAsia="Arial Narrow" w:cs="Arial"/>
          <w:spacing w:val="1"/>
          <w:lang w:val="es-ES_tradnl"/>
        </w:rPr>
        <w:t>a</w:t>
      </w:r>
      <w:r w:rsidRPr="005F2C03">
        <w:rPr>
          <w:rFonts w:eastAsia="Arial Narrow" w:cs="Arial"/>
          <w:lang w:val="es-ES_tradnl"/>
        </w:rPr>
        <w:t>les,</w:t>
      </w:r>
      <w:r w:rsidRPr="005F2C03">
        <w:rPr>
          <w:rFonts w:eastAsia="Arial Narrow" w:cs="Arial"/>
          <w:spacing w:val="-1"/>
          <w:lang w:val="es-ES_tradnl"/>
        </w:rPr>
        <w:t xml:space="preserve"> </w:t>
      </w:r>
      <w:r w:rsidRPr="005F2C03">
        <w:rPr>
          <w:rFonts w:eastAsia="Arial Narrow" w:cs="Arial"/>
          <w:spacing w:val="1"/>
          <w:lang w:val="es-ES_tradnl"/>
        </w:rPr>
        <w:t>e</w:t>
      </w:r>
      <w:r w:rsidRPr="005F2C03">
        <w:rPr>
          <w:rFonts w:eastAsia="Arial Narrow" w:cs="Arial"/>
          <w:lang w:val="es-ES_tradnl"/>
        </w:rPr>
        <w:t>l G</w:t>
      </w:r>
      <w:r w:rsidRPr="005F2C03">
        <w:rPr>
          <w:rFonts w:eastAsia="Arial Narrow" w:cs="Arial"/>
          <w:spacing w:val="1"/>
          <w:lang w:val="es-ES_tradnl"/>
        </w:rPr>
        <w:t>ob</w:t>
      </w:r>
      <w:r w:rsidRPr="005F2C03">
        <w:rPr>
          <w:rFonts w:eastAsia="Arial Narrow" w:cs="Arial"/>
          <w:spacing w:val="-3"/>
          <w:lang w:val="es-ES_tradnl"/>
        </w:rPr>
        <w:t>i</w:t>
      </w:r>
      <w:r w:rsidRPr="005F2C03">
        <w:rPr>
          <w:rFonts w:eastAsia="Arial Narrow" w:cs="Arial"/>
          <w:spacing w:val="1"/>
          <w:lang w:val="es-ES_tradnl"/>
        </w:rPr>
        <w:t>e</w:t>
      </w:r>
      <w:r w:rsidRPr="005F2C03">
        <w:rPr>
          <w:rFonts w:eastAsia="Arial Narrow" w:cs="Arial"/>
          <w:lang w:val="es-ES_tradnl"/>
        </w:rPr>
        <w:t>rn</w:t>
      </w:r>
      <w:r w:rsidRPr="005F2C03">
        <w:rPr>
          <w:rFonts w:eastAsia="Arial Narrow" w:cs="Arial"/>
          <w:spacing w:val="1"/>
          <w:lang w:val="es-ES_tradnl"/>
        </w:rPr>
        <w:t>o</w:t>
      </w:r>
      <w:r w:rsidRPr="005F2C03">
        <w:rPr>
          <w:rFonts w:eastAsia="Arial Narrow" w:cs="Arial"/>
          <w:lang w:val="es-ES_tradnl"/>
        </w:rPr>
        <w:t>,</w:t>
      </w:r>
      <w:r w:rsidRPr="005F2C03">
        <w:rPr>
          <w:rFonts w:eastAsia="Arial Narrow" w:cs="Arial"/>
          <w:spacing w:val="-1"/>
          <w:lang w:val="es-ES_tradnl"/>
        </w:rPr>
        <w:t xml:space="preserve"> </w:t>
      </w:r>
      <w:r w:rsidRPr="005F2C03">
        <w:rPr>
          <w:rFonts w:eastAsia="Arial Narrow" w:cs="Arial"/>
          <w:spacing w:val="1"/>
          <w:lang w:val="es-ES_tradnl"/>
        </w:rPr>
        <w:t>e</w:t>
      </w:r>
      <w:r w:rsidRPr="005F2C03">
        <w:rPr>
          <w:rFonts w:eastAsia="Arial Narrow" w:cs="Arial"/>
          <w:lang w:val="es-ES_tradnl"/>
        </w:rPr>
        <w:t>t</w:t>
      </w:r>
      <w:r w:rsidRPr="005F2C03">
        <w:rPr>
          <w:rFonts w:eastAsia="Arial Narrow" w:cs="Arial"/>
          <w:spacing w:val="3"/>
          <w:lang w:val="es-ES_tradnl"/>
        </w:rPr>
        <w:t>c</w:t>
      </w:r>
      <w:r w:rsidRPr="005F2C03">
        <w:rPr>
          <w:rFonts w:eastAsia="Arial Narrow" w:cs="Arial"/>
          <w:lang w:val="es-ES_tradnl"/>
        </w:rPr>
        <w:t>.</w:t>
      </w:r>
    </w:p>
    <w:p w14:paraId="4F888D5F" w14:textId="77777777" w:rsidR="00794651" w:rsidRPr="005F2C03" w:rsidRDefault="00794651" w:rsidP="00794651">
      <w:pPr>
        <w:jc w:val="both"/>
        <w:rPr>
          <w:rFonts w:eastAsia="Times New Roman" w:cs="Arial"/>
          <w:lang w:val="es-ES_tradnl"/>
        </w:rPr>
      </w:pPr>
    </w:p>
    <w:p w14:paraId="44A44636" w14:textId="77777777" w:rsidR="00794651" w:rsidRPr="005F2C03" w:rsidRDefault="00794651" w:rsidP="00794651">
      <w:pPr>
        <w:ind w:right="104"/>
        <w:contextualSpacing/>
        <w:jc w:val="both"/>
        <w:rPr>
          <w:rFonts w:eastAsia="Arial Narrow" w:cs="Arial"/>
          <w:lang w:val="es-ES_tradnl"/>
        </w:rPr>
      </w:pPr>
      <w:r w:rsidRPr="005F2C03">
        <w:rPr>
          <w:rFonts w:eastAsia="Arial Narrow" w:cs="Arial"/>
          <w:lang w:val="es-ES_tradnl"/>
        </w:rPr>
        <w:t xml:space="preserve">Es indispensable aclarar que los dos primeros sectores producen bienes tangibles, por lo cual son considerados como sectores productivos. Es tercer sector se considera no productivo, puesto que no produce bienes tangibles, pero, sin embargo, contribuye a la formación el ingreso nacional y del producto nacional.  </w:t>
      </w:r>
    </w:p>
    <w:p w14:paraId="6D265124" w14:textId="77777777" w:rsidR="00794651" w:rsidRPr="005F2C03" w:rsidRDefault="00794651" w:rsidP="00794651">
      <w:pPr>
        <w:ind w:right="65"/>
        <w:contextualSpacing/>
        <w:jc w:val="both"/>
        <w:rPr>
          <w:rFonts w:eastAsia="Arial Narrow" w:cs="Arial"/>
          <w:spacing w:val="1"/>
          <w:lang w:val="es-ES_tradnl"/>
        </w:rPr>
      </w:pPr>
    </w:p>
    <w:p w14:paraId="7203D5E0" w14:textId="77777777" w:rsidR="00794651" w:rsidRPr="005F2C03" w:rsidRDefault="00794651" w:rsidP="00794651">
      <w:pPr>
        <w:ind w:right="104"/>
        <w:contextualSpacing/>
        <w:jc w:val="both"/>
        <w:rPr>
          <w:rFonts w:eastAsia="Arial Narrow" w:cs="Arial"/>
          <w:lang w:val="es-ES_tradnl"/>
        </w:rPr>
      </w:pPr>
      <w:r w:rsidRPr="005F2C03">
        <w:rPr>
          <w:rFonts w:eastAsia="Arial" w:cs="Arial"/>
          <w:lang w:val="es-ES_tradnl"/>
        </w:rPr>
        <w:t>Aunque</w:t>
      </w:r>
      <w:r w:rsidRPr="005F2C03">
        <w:rPr>
          <w:rFonts w:eastAsia="Arial Narrow" w:cs="Arial"/>
          <w:lang w:val="es-ES_tradnl"/>
        </w:rPr>
        <w:t xml:space="preserve"> los sectores anteriormente indicados son aquellos que la teoría económica menciona como sectores de la economía. Es común que las actividades económicas se diferencien aún más dependiendo de su especialización. Lo anterior da origen a los siguientes sectores económicos, los cuales son:</w:t>
      </w:r>
    </w:p>
    <w:p w14:paraId="1830DFB3" w14:textId="77777777" w:rsidR="00794651" w:rsidRPr="005F2C03" w:rsidRDefault="00794651" w:rsidP="00794651">
      <w:pPr>
        <w:ind w:left="142"/>
        <w:contextualSpacing/>
        <w:jc w:val="both"/>
        <w:rPr>
          <w:rFonts w:eastAsia="Arial Narrow" w:cs="Arial"/>
          <w:lang w:val="es-ES_tradnl"/>
        </w:rPr>
      </w:pPr>
    </w:p>
    <w:p w14:paraId="26028A1B" w14:textId="77777777" w:rsidR="00794651" w:rsidRPr="005F2C03" w:rsidRDefault="00794651">
      <w:pPr>
        <w:pStyle w:val="Prrafodelista"/>
        <w:numPr>
          <w:ilvl w:val="0"/>
          <w:numId w:val="2"/>
        </w:numPr>
        <w:ind w:right="104"/>
        <w:jc w:val="both"/>
        <w:rPr>
          <w:rFonts w:eastAsia="Arial Narrow" w:cs="Arial"/>
          <w:lang w:val="es-ES_tradnl"/>
        </w:rPr>
      </w:pPr>
      <w:r w:rsidRPr="005F2C03">
        <w:rPr>
          <w:rFonts w:eastAsia="Arial Narrow" w:cs="Arial"/>
        </w:rPr>
        <w:t>Sector agropecuario: Corresponde al sector primario mencionado anteriormente.</w:t>
      </w:r>
    </w:p>
    <w:p w14:paraId="4A78EA80"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Sector Servicios: Corresponde al sector primario mencionado anteriormente.</w:t>
      </w:r>
    </w:p>
    <w:p w14:paraId="1BC90F49"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Sector Industrial: Corresponde al sector primario mencionado anteriormente.</w:t>
      </w:r>
    </w:p>
    <w:p w14:paraId="0B5C34BF"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Sector transporte: Hace parte del sector terciario, e incluye el trasporte de carga, servicio de trasporte público, trasporte terrestre, aéreo, marítimo, etc.</w:t>
      </w:r>
    </w:p>
    <w:p w14:paraId="6B6032F7"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 xml:space="preserve">Sector comercio: Hace parte del sector terciario de la economía, e incluye comercio al por mayor, minorista, centros comerciales, cámaras de comercio, san Andresito, plazas de mercado y en general, a todos aquellos que se relacionan con la actividad de comercio de diversos productos a nivel nacional o internacional. </w:t>
      </w:r>
    </w:p>
    <w:p w14:paraId="649014AE"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Sector financiero: En este sector se incluyen todas aquellas organizaciones relacionadas con actividades bancarias y financieras, fondos de pensiones y cesantías, fiduciarias, SEGUROS, etc.</w:t>
      </w:r>
    </w:p>
    <w:p w14:paraId="0676473C"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Sector de la construcción: En este sector se incluyen las empresas y organizaciones relacionadas con la construcción, al igual que los arquitectos e ingenieros, las empresas productoras de materiales para la construcción etc.</w:t>
      </w:r>
    </w:p>
    <w:p w14:paraId="02976B1E"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 xml:space="preserve">Sector minero y energético: Se incluyen en todas las empresas que se relacionan con la actividad minera y energética de cualquier tipo (extracción de carbón, esmeraldas, gas y petróleo; empresas generadoras de energía, etc.  </w:t>
      </w:r>
    </w:p>
    <w:p w14:paraId="05F518B9"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lastRenderedPageBreak/>
        <w:t>Sector solidario: En este sector se incluyen las cooperativas, las cajas de compensación familiar, las empresas solidarias de salud, entre otras.</w:t>
      </w:r>
    </w:p>
    <w:p w14:paraId="26C214E1" w14:textId="77777777" w:rsidR="00794651" w:rsidRPr="005F2C03" w:rsidRDefault="00794651">
      <w:pPr>
        <w:pStyle w:val="Prrafodelista"/>
        <w:numPr>
          <w:ilvl w:val="0"/>
          <w:numId w:val="2"/>
        </w:numPr>
        <w:ind w:right="104"/>
        <w:jc w:val="both"/>
        <w:rPr>
          <w:rFonts w:eastAsia="Arial Narrow" w:cs="Arial"/>
        </w:rPr>
      </w:pPr>
      <w:r w:rsidRPr="005F2C03">
        <w:rPr>
          <w:rFonts w:eastAsia="Arial Narrow" w:cs="Arial"/>
        </w:rPr>
        <w:t xml:space="preserve"> Sector de comunicaciones: En este sector se incluyen todas las empresas y organizaciones relacionadas con los medios de comunicación como (telefonía fija y celular, empresas de publicidad, periódicos, editoriales, etc.</w:t>
      </w:r>
      <w:r w:rsidRPr="005F2C03">
        <w:rPr>
          <w:rStyle w:val="Refdenotaalpie"/>
          <w:rFonts w:eastAsia="Arial Narrow" w:cs="Arial"/>
        </w:rPr>
        <w:footnoteReference w:id="2"/>
      </w:r>
      <w:r w:rsidRPr="005F2C03">
        <w:rPr>
          <w:rFonts w:eastAsia="Arial Narrow" w:cs="Arial"/>
        </w:rPr>
        <w:t xml:space="preserve"> </w:t>
      </w:r>
    </w:p>
    <w:p w14:paraId="7EA7B186" w14:textId="77777777" w:rsidR="00794651" w:rsidRPr="005F2C03" w:rsidRDefault="00794651" w:rsidP="00794651">
      <w:pPr>
        <w:ind w:right="104"/>
        <w:contextualSpacing/>
        <w:jc w:val="both"/>
        <w:rPr>
          <w:rFonts w:eastAsia="Arial Narrow" w:cs="Arial"/>
          <w:lang w:val="es-ES_tradnl"/>
        </w:rPr>
      </w:pPr>
    </w:p>
    <w:p w14:paraId="025262AC" w14:textId="52AEE3BF" w:rsidR="00794651" w:rsidRDefault="00794651" w:rsidP="00794651">
      <w:pPr>
        <w:ind w:right="104"/>
        <w:contextualSpacing/>
        <w:jc w:val="both"/>
        <w:rPr>
          <w:rFonts w:eastAsia="Arial Narrow" w:cs="Arial"/>
          <w:lang w:val="es-ES_tradnl"/>
        </w:rPr>
      </w:pPr>
      <w:r w:rsidRPr="005F2C03">
        <w:rPr>
          <w:rFonts w:eastAsia="Arial Narrow" w:cs="Arial"/>
          <w:lang w:val="es-ES_tradnl"/>
        </w:rPr>
        <w:t xml:space="preserve">Con el propósito de observar lo dispuesto en el artículo 2.2.1.2.1.5.1 del Decreto 1082 de 2015, en relación con el estudio de mercado, la </w:t>
      </w:r>
      <w:r w:rsidR="00FB1179" w:rsidRPr="005F2C03">
        <w:rPr>
          <w:rFonts w:eastAsia="Arial Narrow" w:cs="Arial"/>
          <w:lang w:val="es-ES_tradnl"/>
        </w:rPr>
        <w:t>ELC</w:t>
      </w:r>
      <w:r w:rsidRPr="005F2C03">
        <w:rPr>
          <w:rFonts w:eastAsia="Arial Narrow" w:cs="Arial"/>
          <w:lang w:val="es-ES_tradnl"/>
        </w:rPr>
        <w:t xml:space="preserve"> identificó que el sector relativo al objeto de la presente contratación está integrado por el conjunto de empresas pertenecientes al sector terciario o de servicios, que incluye todas aquellas actividades que no producen una mercancía en sí, pero que son necesarios para el funcionamiento de la economía. Específicamente, se trata del sector SEGUROS.</w:t>
      </w:r>
    </w:p>
    <w:p w14:paraId="0B727E6A" w14:textId="77777777" w:rsidR="00A83180" w:rsidRDefault="00A83180" w:rsidP="00794651">
      <w:pPr>
        <w:ind w:right="104"/>
        <w:contextualSpacing/>
        <w:jc w:val="both"/>
        <w:rPr>
          <w:rFonts w:eastAsia="Arial Narrow" w:cs="Arial"/>
          <w:lang w:val="es-ES_tradnl"/>
        </w:rPr>
      </w:pPr>
    </w:p>
    <w:p w14:paraId="38EE2099" w14:textId="77777777" w:rsidR="00A83180" w:rsidRDefault="00A83180" w:rsidP="00794651">
      <w:pPr>
        <w:ind w:right="104"/>
        <w:contextualSpacing/>
        <w:jc w:val="both"/>
        <w:rPr>
          <w:rFonts w:eastAsia="Arial Narrow" w:cs="Arial"/>
          <w:lang w:val="es-ES_tradnl"/>
        </w:rPr>
      </w:pPr>
    </w:p>
    <w:p w14:paraId="2005E8E4" w14:textId="479A0156" w:rsidR="00C4639A" w:rsidRPr="005F2C03" w:rsidRDefault="00C4639A" w:rsidP="00C4639A">
      <w:pPr>
        <w:ind w:right="104"/>
        <w:jc w:val="center"/>
        <w:rPr>
          <w:rFonts w:eastAsia="Arial Narrow" w:cs="Arial"/>
          <w:b/>
          <w:bCs/>
          <w:lang w:val="es-ES_tradnl"/>
        </w:rPr>
      </w:pPr>
      <w:r w:rsidRPr="005F2C03">
        <w:rPr>
          <w:rFonts w:eastAsia="Arial Narrow" w:cs="Arial"/>
          <w:b/>
          <w:bCs/>
          <w:lang w:val="es-ES_tradnl"/>
        </w:rPr>
        <w:t>CAPÍTULO III</w:t>
      </w:r>
    </w:p>
    <w:p w14:paraId="0C54099A" w14:textId="77777777" w:rsidR="00C4639A" w:rsidRPr="005F2C03" w:rsidRDefault="00C4639A" w:rsidP="00C4639A">
      <w:pPr>
        <w:ind w:right="104"/>
        <w:jc w:val="center"/>
        <w:rPr>
          <w:rFonts w:eastAsia="Arial Narrow" w:cs="Arial"/>
          <w:b/>
          <w:bCs/>
          <w:lang w:val="es-ES_tradnl"/>
        </w:rPr>
      </w:pPr>
    </w:p>
    <w:p w14:paraId="556BC3BF" w14:textId="1DC43C8F" w:rsidR="00794651" w:rsidRPr="005F2C03" w:rsidRDefault="00794651" w:rsidP="00C4639A">
      <w:pPr>
        <w:ind w:right="104"/>
        <w:jc w:val="center"/>
        <w:rPr>
          <w:rFonts w:eastAsia="Arial Narrow" w:cs="Arial"/>
          <w:b/>
          <w:bCs/>
          <w:lang w:val="es-ES_tradnl"/>
        </w:rPr>
      </w:pPr>
      <w:r w:rsidRPr="005F2C03">
        <w:rPr>
          <w:rFonts w:eastAsia="Arial Narrow" w:cs="Arial"/>
          <w:b/>
          <w:bCs/>
          <w:lang w:val="es-ES_tradnl"/>
        </w:rPr>
        <w:t>ANÁLISIS REGULATORIO</w:t>
      </w:r>
    </w:p>
    <w:p w14:paraId="5F89B979" w14:textId="77777777" w:rsidR="00794651" w:rsidRPr="005F2C03" w:rsidRDefault="00794651" w:rsidP="00794651">
      <w:pPr>
        <w:ind w:right="104"/>
        <w:jc w:val="both"/>
        <w:rPr>
          <w:rFonts w:eastAsia="Arial Narrow" w:cs="Arial"/>
          <w:lang w:val="es-ES_tradnl"/>
        </w:rPr>
      </w:pPr>
    </w:p>
    <w:p w14:paraId="724A091B" w14:textId="77777777" w:rsidR="00794651" w:rsidRPr="005F2C03" w:rsidRDefault="00794651" w:rsidP="00794651">
      <w:pPr>
        <w:jc w:val="both"/>
        <w:rPr>
          <w:rFonts w:cs="Arial"/>
          <w:lang w:val="es-ES_tradnl" w:eastAsia="es-CO"/>
        </w:rPr>
      </w:pPr>
      <w:r w:rsidRPr="005F2C03">
        <w:rPr>
          <w:rFonts w:cs="Arial"/>
          <w:lang w:val="es-ES_tradnl" w:eastAsia="es-CO"/>
        </w:rPr>
        <w:t>La actividad aseguradora tiene gran importancia estratégica, social y económica lo cual conlleva a que estén sometidas a estricta supervisión administrativa con reglas propias de funcionamiento, control e inspección, como también al control estatal a través de las legislaciones y superintendencia creada para tal fin. Las empresas de seguros actúan como intermediarios financieros con unas características especiales que las diferencian de las restantes empresas financieras.</w:t>
      </w:r>
    </w:p>
    <w:p w14:paraId="1D4C4B18" w14:textId="77777777" w:rsidR="00794651" w:rsidRPr="005F2C03" w:rsidRDefault="00794651" w:rsidP="00794651">
      <w:pPr>
        <w:jc w:val="both"/>
        <w:rPr>
          <w:rFonts w:cs="Arial"/>
          <w:lang w:val="es-ES_tradnl" w:eastAsia="es-CO"/>
        </w:rPr>
      </w:pPr>
    </w:p>
    <w:p w14:paraId="12E99BFB" w14:textId="77777777" w:rsidR="00794651" w:rsidRPr="005F2C03" w:rsidRDefault="00794651" w:rsidP="00794651">
      <w:pPr>
        <w:jc w:val="both"/>
        <w:rPr>
          <w:rFonts w:cs="Arial"/>
          <w:lang w:val="es-ES_tradnl" w:eastAsia="es-CO"/>
        </w:rPr>
      </w:pPr>
      <w:r w:rsidRPr="005F2C03">
        <w:rPr>
          <w:rFonts w:cs="Arial"/>
          <w:lang w:val="es-ES_tradnl" w:eastAsia="es-CO"/>
        </w:rPr>
        <w:t>Una aseguradora es la empresa especializada en el seguro cuya actividad consiste en producir el servicio de seguridad, cubriendo determinados riesgos económicos (asegurables) a las unidades económicas de producción y consumo. Para poder afrontar los riesgos derivados de su actividad, las entidades aseguradoras deben disponer de los recursos financieros suficientes y, en consecuencia, la legislación les impone determinadas restricciones, entre ellas, la prohibición de desarrollar esta actividad por personas naturales; de ejercer actividades distintas al ramo por las empresas aseguradoras; y estar sometidas al control por el Estado en todo momento.</w:t>
      </w:r>
    </w:p>
    <w:p w14:paraId="2711B1DE" w14:textId="77777777" w:rsidR="00794651" w:rsidRPr="005F2C03" w:rsidRDefault="00794651" w:rsidP="00794651">
      <w:pPr>
        <w:jc w:val="both"/>
        <w:rPr>
          <w:rFonts w:cs="Arial"/>
          <w:lang w:val="es-ES_tradnl" w:eastAsia="es-CO"/>
        </w:rPr>
      </w:pPr>
    </w:p>
    <w:p w14:paraId="6CE168A3" w14:textId="77777777" w:rsidR="00794651" w:rsidRPr="005F2C03" w:rsidRDefault="00794651" w:rsidP="00794651">
      <w:pPr>
        <w:jc w:val="both"/>
        <w:rPr>
          <w:rFonts w:cs="Arial"/>
          <w:lang w:val="es-ES_tradnl" w:eastAsia="es-CO"/>
        </w:rPr>
      </w:pPr>
      <w:r w:rsidRPr="005F2C03">
        <w:rPr>
          <w:rFonts w:cs="Arial"/>
          <w:lang w:val="es-ES_tradnl" w:eastAsia="es-CO"/>
        </w:rPr>
        <w:t>La actividad que desempeña la aseguradora es la de una operación con ánimo de lucro, a través de las aportaciones de muchos sujetos expuestos a eventos económicos desfavorables, para destinar lo así acumulado, a los pocos a quienes se presenta la necesidad. Sigue el principio de mutualidad, buscando la solidaridad entre un grupo sometido a riesgos. Esta mutualidad se organiza empresarialmente creando un patrimonio que haga frente a los riesgos. El efecto desfavorable de estos riesgos en su conjunto queda aminorado sustancialmente, porque los riesgos individuales se compensan: sólo unos pocos asegurados los sufren, frente a los muchos que contribuyen al pago de la cobertura. Ello permite una gestión estadística del riesgo, desde el punto de vista económico, aunque se conserve individualmente desde el punto de vista jurídico.</w:t>
      </w:r>
    </w:p>
    <w:p w14:paraId="1E783100" w14:textId="77777777" w:rsidR="00794651" w:rsidRPr="005F2C03" w:rsidRDefault="00794651" w:rsidP="00794651">
      <w:pPr>
        <w:jc w:val="both"/>
        <w:rPr>
          <w:rFonts w:cs="Arial"/>
          <w:lang w:val="es-ES_tradnl" w:eastAsia="es-CO"/>
        </w:rPr>
      </w:pPr>
    </w:p>
    <w:p w14:paraId="03FC832D" w14:textId="77777777" w:rsidR="00794651" w:rsidRPr="005F2C03" w:rsidRDefault="00794651" w:rsidP="00794651">
      <w:pPr>
        <w:jc w:val="both"/>
        <w:rPr>
          <w:rFonts w:cs="Arial"/>
          <w:lang w:val="es-ES_tradnl" w:eastAsia="es-CO"/>
        </w:rPr>
      </w:pPr>
      <w:r w:rsidRPr="005F2C03">
        <w:rPr>
          <w:rFonts w:cs="Arial"/>
          <w:lang w:val="es-ES_tradnl" w:eastAsia="es-CO"/>
        </w:rPr>
        <w:t>Por lo tanto, las entidades de seguro deben tener presente ciertos principios técnicos:</w:t>
      </w:r>
    </w:p>
    <w:p w14:paraId="09411557" w14:textId="77777777" w:rsidR="00794651" w:rsidRPr="005F2C03" w:rsidRDefault="00794651" w:rsidP="00794651">
      <w:pPr>
        <w:jc w:val="both"/>
        <w:rPr>
          <w:rFonts w:cs="Arial"/>
          <w:lang w:val="es-ES_tradnl" w:eastAsia="es-CO"/>
        </w:rPr>
      </w:pPr>
    </w:p>
    <w:p w14:paraId="20DC62BB" w14:textId="77777777" w:rsidR="00794651" w:rsidRPr="005F2C03" w:rsidRDefault="00794651">
      <w:pPr>
        <w:numPr>
          <w:ilvl w:val="0"/>
          <w:numId w:val="3"/>
        </w:numPr>
        <w:jc w:val="both"/>
        <w:rPr>
          <w:rFonts w:cs="Arial"/>
          <w:lang w:val="es-ES_tradnl" w:eastAsia="es-CO"/>
        </w:rPr>
      </w:pPr>
      <w:r w:rsidRPr="005F2C03">
        <w:rPr>
          <w:rFonts w:cs="Arial"/>
          <w:lang w:val="es-ES_tradnl" w:eastAsia="es-CO"/>
        </w:rPr>
        <w:t xml:space="preserve">La Individualización: es necesaria la definición y delimitación de cada uno de los riesgos existentes para clasificarlos y poder evaluarlos y agruparlos. </w:t>
      </w:r>
    </w:p>
    <w:p w14:paraId="41C45548" w14:textId="77777777" w:rsidR="00794651" w:rsidRPr="005F2C03" w:rsidRDefault="00794651" w:rsidP="00794651">
      <w:pPr>
        <w:jc w:val="both"/>
        <w:rPr>
          <w:rFonts w:cs="Arial"/>
          <w:lang w:val="es-ES_tradnl" w:eastAsia="es-CO"/>
        </w:rPr>
      </w:pPr>
    </w:p>
    <w:p w14:paraId="24089196" w14:textId="77777777" w:rsidR="00794651" w:rsidRPr="005F2C03" w:rsidRDefault="00794651">
      <w:pPr>
        <w:numPr>
          <w:ilvl w:val="0"/>
          <w:numId w:val="3"/>
        </w:numPr>
        <w:jc w:val="both"/>
        <w:rPr>
          <w:rFonts w:cs="Arial"/>
          <w:lang w:val="es-ES_tradnl" w:eastAsia="es-CO"/>
        </w:rPr>
      </w:pPr>
      <w:r w:rsidRPr="005F2C03">
        <w:rPr>
          <w:rFonts w:cs="Arial"/>
          <w:lang w:val="es-ES_tradnl" w:eastAsia="es-CO"/>
        </w:rPr>
        <w:t>La acumulación: de acuerdo con las leyes de la probabilidad, cuanto mayor es la agrupación de riesgos, menores son los fallos entre la probabilidad teórica y el número de siniestros.</w:t>
      </w:r>
    </w:p>
    <w:p w14:paraId="77C5E694" w14:textId="77777777" w:rsidR="00794651" w:rsidRPr="005F2C03" w:rsidRDefault="00794651" w:rsidP="00794651">
      <w:pPr>
        <w:jc w:val="both"/>
        <w:rPr>
          <w:rFonts w:cs="Arial"/>
          <w:lang w:val="es-ES_tradnl" w:eastAsia="es-CO"/>
        </w:rPr>
      </w:pPr>
    </w:p>
    <w:p w14:paraId="7E2BB9B7" w14:textId="77777777" w:rsidR="00794651" w:rsidRPr="005F2C03" w:rsidRDefault="00794651">
      <w:pPr>
        <w:numPr>
          <w:ilvl w:val="0"/>
          <w:numId w:val="3"/>
        </w:numPr>
        <w:jc w:val="both"/>
        <w:rPr>
          <w:rFonts w:cs="Arial"/>
          <w:lang w:val="es-ES_tradnl" w:eastAsia="es-CO"/>
        </w:rPr>
      </w:pPr>
      <w:r w:rsidRPr="005F2C03">
        <w:rPr>
          <w:rFonts w:cs="Arial"/>
          <w:lang w:val="es-ES_tradnl" w:eastAsia="es-CO"/>
        </w:rPr>
        <w:t xml:space="preserve">La selección de riesgos: los aseguradores solo deben aceptar los riesgos que, por su naturaleza, se presuma no originarán necesariamente resultados desequilibrados. </w:t>
      </w:r>
    </w:p>
    <w:p w14:paraId="6E80AEB8" w14:textId="77777777" w:rsidR="00794651" w:rsidRPr="005F2C03" w:rsidRDefault="00794651" w:rsidP="00794651">
      <w:pPr>
        <w:jc w:val="both"/>
        <w:rPr>
          <w:rFonts w:cs="Arial"/>
          <w:lang w:val="es-ES_tradnl" w:eastAsia="es-CO"/>
        </w:rPr>
      </w:pPr>
    </w:p>
    <w:p w14:paraId="59BBB1D1" w14:textId="77777777" w:rsidR="00794651" w:rsidRPr="005F2C03" w:rsidRDefault="00794651">
      <w:pPr>
        <w:numPr>
          <w:ilvl w:val="0"/>
          <w:numId w:val="3"/>
        </w:numPr>
        <w:jc w:val="both"/>
        <w:rPr>
          <w:rFonts w:cs="Arial"/>
          <w:lang w:val="es-ES_tradnl" w:eastAsia="es-CO"/>
        </w:rPr>
      </w:pPr>
      <w:r w:rsidRPr="005F2C03">
        <w:rPr>
          <w:rFonts w:cs="Arial"/>
          <w:lang w:val="es-ES_tradnl" w:eastAsia="es-CO"/>
        </w:rPr>
        <w:t>La distribución o división de riesgos: la aseguradora requiere la necesidad de conseguir que los riesgos que asume, en virtud de los contratos de seguro, sean homogéneos cualitativa y cuantitativamente, de forma que se cumpla el principio mutual o de compensación.</w:t>
      </w:r>
    </w:p>
    <w:p w14:paraId="10A18B33" w14:textId="77777777" w:rsidR="00794651" w:rsidRPr="005F2C03" w:rsidRDefault="00794651" w:rsidP="00794651">
      <w:pPr>
        <w:jc w:val="both"/>
        <w:rPr>
          <w:rFonts w:cs="Arial"/>
          <w:lang w:val="es-ES_tradnl" w:eastAsia="es-CO"/>
        </w:rPr>
      </w:pPr>
    </w:p>
    <w:p w14:paraId="2065E910" w14:textId="77777777" w:rsidR="00794651" w:rsidRPr="005F2C03" w:rsidRDefault="00794651" w:rsidP="00794651">
      <w:pPr>
        <w:jc w:val="both"/>
        <w:rPr>
          <w:rFonts w:cs="Arial"/>
          <w:lang w:val="es-ES_tradnl" w:eastAsia="es-CO"/>
        </w:rPr>
      </w:pPr>
      <w:r w:rsidRPr="005F2C03">
        <w:rPr>
          <w:rFonts w:cs="Arial"/>
          <w:lang w:val="es-ES_tradnl" w:eastAsia="es-CO"/>
        </w:rPr>
        <w:t>Desde el punto de vista económico financiero, las empresas aseguradoras son intermediarios financieros que emiten, como activo financiero específico, las pólizas o contratos de seguros, obteniendo financiación mediante el cobro del precio o prima del seguro, y constituyen las oportunas reservas o provisiones técnicas (operaciones pasivas) a la espera de que se realice el pago de la indemnización o prestación garantizada (suma asegurada), por alguna contingencia ocurrida o por estimación de su posible ocurrencia por métodos y procedimientos actuariales.</w:t>
      </w:r>
    </w:p>
    <w:p w14:paraId="00AAD3DF" w14:textId="77777777" w:rsidR="00794651" w:rsidRPr="005F2C03" w:rsidRDefault="00794651" w:rsidP="00794651">
      <w:pPr>
        <w:jc w:val="both"/>
        <w:rPr>
          <w:rFonts w:cs="Arial"/>
          <w:lang w:val="es-ES_tradnl" w:eastAsia="es-CO"/>
        </w:rPr>
      </w:pPr>
    </w:p>
    <w:p w14:paraId="348EC94F" w14:textId="77777777" w:rsidR="00794651" w:rsidRPr="005F2C03" w:rsidRDefault="00794651" w:rsidP="00794651">
      <w:pPr>
        <w:jc w:val="both"/>
        <w:rPr>
          <w:rFonts w:cs="Arial"/>
          <w:lang w:val="es-ES_tradnl" w:eastAsia="es-CO"/>
        </w:rPr>
      </w:pPr>
      <w:r w:rsidRPr="005F2C03">
        <w:rPr>
          <w:rFonts w:cs="Arial"/>
          <w:lang w:val="es-ES_tradnl" w:eastAsia="es-CO"/>
        </w:rPr>
        <w:t>La técnica del seguro se basa en el pago anticipado de los recursos que se invierten a largo plazo, fijándose las reservas especiales, las denominadas provisiones técnicas, que garantizan, cuando ocurran eventos dañosos, el pago de las indemnizaciones por siniestro. Las citadas reservas son invertidas por las empresas de seguros normalmente en activos reales (inmuebles) o en activos financieros (títulos o valores mobiliarios, operaciones activas).</w:t>
      </w:r>
    </w:p>
    <w:p w14:paraId="64CDB77C" w14:textId="77777777" w:rsidR="00794651" w:rsidRPr="005F2C03" w:rsidRDefault="00794651" w:rsidP="00794651">
      <w:pPr>
        <w:jc w:val="both"/>
        <w:rPr>
          <w:rFonts w:cs="Arial"/>
          <w:lang w:val="es-ES_tradnl" w:eastAsia="es-CO"/>
        </w:rPr>
      </w:pPr>
    </w:p>
    <w:p w14:paraId="430508F2" w14:textId="77777777" w:rsidR="00794651" w:rsidRPr="005F2C03" w:rsidRDefault="00794651" w:rsidP="00794651">
      <w:pPr>
        <w:jc w:val="both"/>
        <w:rPr>
          <w:rFonts w:cs="Arial"/>
          <w:lang w:val="es-ES_tradnl" w:eastAsia="es-CO"/>
        </w:rPr>
      </w:pPr>
      <w:r w:rsidRPr="005F2C03">
        <w:rPr>
          <w:rFonts w:cs="Arial"/>
          <w:lang w:val="es-ES_tradnl" w:eastAsia="es-CO"/>
        </w:rPr>
        <w:t>Las provisiones técnicas se derivan inmediatamente de los contratos de seguro, formándose con una parte de las aportaciones de los asegurados y corresponden a la obligación futura que para con ellos tiene el asegurador. En tanto que el margen de solvencia lo constituye el patrimonio de la entidad aseguradora libre de todo compromiso previsible y con deducción de los elementos inmateriales.</w:t>
      </w:r>
    </w:p>
    <w:p w14:paraId="3334F57F" w14:textId="77777777" w:rsidR="00794651" w:rsidRPr="005F2C03" w:rsidRDefault="00794651" w:rsidP="00794651">
      <w:pPr>
        <w:jc w:val="both"/>
        <w:rPr>
          <w:rFonts w:cs="Arial"/>
          <w:lang w:val="es-ES_tradnl" w:eastAsia="es-CO"/>
        </w:rPr>
      </w:pPr>
    </w:p>
    <w:p w14:paraId="11BACADA" w14:textId="77777777" w:rsidR="00794651" w:rsidRPr="005F2C03" w:rsidRDefault="00794651" w:rsidP="00794651">
      <w:pPr>
        <w:jc w:val="both"/>
        <w:rPr>
          <w:rFonts w:cs="Arial"/>
          <w:lang w:val="es-ES_tradnl" w:eastAsia="es-CO"/>
        </w:rPr>
      </w:pPr>
      <w:r w:rsidRPr="005F2C03">
        <w:rPr>
          <w:rFonts w:cs="Arial"/>
          <w:lang w:val="es-ES_tradnl" w:eastAsia="es-CO"/>
        </w:rPr>
        <w:t>Al constituirse un contrato, la compañía de seguros al recibir una prima en concepto de pago se obliga frente al asegurado a indemnizarle según lo pactado, si deviene el evento no deseado. El espíritu es restituir al asegurado al "estado" previo al siniestro, para que la calamidad no se convierta en lucro.</w:t>
      </w:r>
    </w:p>
    <w:p w14:paraId="4604CC23" w14:textId="77777777" w:rsidR="00794651" w:rsidRPr="005F2C03" w:rsidRDefault="00794651" w:rsidP="00794651">
      <w:pPr>
        <w:jc w:val="both"/>
        <w:rPr>
          <w:rFonts w:cs="Arial"/>
          <w:lang w:val="es-ES_tradnl" w:eastAsia="es-CO"/>
        </w:rPr>
      </w:pPr>
    </w:p>
    <w:p w14:paraId="4118245F" w14:textId="77777777" w:rsidR="00794651" w:rsidRPr="005F2C03" w:rsidRDefault="00794651" w:rsidP="00794651">
      <w:pPr>
        <w:jc w:val="both"/>
        <w:rPr>
          <w:rFonts w:cs="Arial"/>
          <w:lang w:val="es-ES_tradnl" w:eastAsia="es-CO"/>
        </w:rPr>
      </w:pPr>
      <w:r w:rsidRPr="005F2C03">
        <w:rPr>
          <w:rFonts w:cs="Arial"/>
          <w:lang w:val="es-ES_tradnl" w:eastAsia="es-CO"/>
        </w:rPr>
        <w:t xml:space="preserve">Las sociedades de corretaje y los agentes independientes median entre los asegurados y las aseguradoras. Es de importancia capital que estos tengan la formación y niveles adecuados patrimoniales para brindar la mejor orientación y el soporte al asegurado, pues ellos representan el eslabón más prominente y muchas veces más frágil de la industria aseguradora. Para distribuir el riesgo, las empresas aseguradoras pueden ceder una parte o la totalidad de riesgos suscribiendo contrato con empresas reaseguradoras, acordándose cómo será el </w:t>
      </w:r>
      <w:r w:rsidRPr="005F2C03">
        <w:rPr>
          <w:rFonts w:cs="Arial"/>
          <w:lang w:val="es-ES_tradnl" w:eastAsia="es-CO"/>
        </w:rPr>
        <w:lastRenderedPageBreak/>
        <w:t>reparto de las primas devengadas de la asunción del riesgo y el reparto de los pagos por las responsabilidades derivadas del riesgo. No se cede la responsabilidad del asegurador con el asegurado, sin embargo, se hace la prevención y se dispersan los riesgos.</w:t>
      </w:r>
    </w:p>
    <w:p w14:paraId="56381931" w14:textId="77777777" w:rsidR="00794651" w:rsidRPr="005F2C03" w:rsidRDefault="00794651" w:rsidP="00794651">
      <w:pPr>
        <w:jc w:val="both"/>
        <w:rPr>
          <w:rFonts w:cs="Arial"/>
          <w:lang w:val="es-ES_tradnl" w:eastAsia="es-CO"/>
        </w:rPr>
      </w:pPr>
    </w:p>
    <w:p w14:paraId="412B4DFC" w14:textId="77777777" w:rsidR="00794651" w:rsidRPr="005F2C03" w:rsidRDefault="00794651" w:rsidP="00794651">
      <w:pPr>
        <w:jc w:val="both"/>
        <w:rPr>
          <w:rFonts w:cs="Arial"/>
          <w:lang w:val="es-ES_tradnl" w:eastAsia="es-CO"/>
        </w:rPr>
      </w:pPr>
      <w:r w:rsidRPr="005F2C03">
        <w:rPr>
          <w:rFonts w:cs="Arial"/>
          <w:lang w:val="es-ES_tradnl" w:eastAsia="es-CO"/>
        </w:rPr>
        <w:t>El seguro realiza una importante labor de prevención mediante la selección de riesgos y la adecuada cotización de primas; juega un papel importante en materia crediticia; constituye una importante fuente de ingreso al fisco, y; en el aspecto individual, el seguro se destaca el espíritu de prevención que representa el tratar de prevenirse de las consecuencias desfavorables de un evento, con la consiguiente mejora de la conciencia social de los individuos.</w:t>
      </w:r>
    </w:p>
    <w:p w14:paraId="355B8694" w14:textId="77777777" w:rsidR="00794651" w:rsidRPr="005F2C03" w:rsidRDefault="00794651" w:rsidP="00794651">
      <w:pPr>
        <w:jc w:val="both"/>
        <w:rPr>
          <w:rFonts w:cs="Arial"/>
          <w:lang w:val="es-ES_tradnl" w:eastAsia="es-CO"/>
        </w:rPr>
      </w:pPr>
    </w:p>
    <w:p w14:paraId="1346A0ED" w14:textId="77777777" w:rsidR="00794651" w:rsidRPr="005F2C03" w:rsidRDefault="00794651" w:rsidP="00794651">
      <w:pPr>
        <w:jc w:val="both"/>
        <w:rPr>
          <w:rFonts w:cs="Arial"/>
          <w:lang w:val="es-ES_tradnl" w:eastAsia="es-CO"/>
        </w:rPr>
      </w:pPr>
      <w:r w:rsidRPr="005F2C03">
        <w:rPr>
          <w:rFonts w:cs="Arial"/>
          <w:lang w:val="es-ES_tradnl" w:eastAsia="es-CO"/>
        </w:rPr>
        <w:t>La industria aseguradora es de gran importancia en todos los países, y dada la naturaleza y la dinámica del negocio, el sector es un inversionista institucional en las naciones. Asimismo, los seguros son fundamentales en la promoción del ahorro personal protectores del patrimonio del asegurado contra cualquier eventualidad; gracias a esto, se pueden mantener los niveles de producción de las empresas, previendo el desempleo y contribuyendo al crecimiento económico de cada nación.</w:t>
      </w:r>
    </w:p>
    <w:p w14:paraId="179870AD" w14:textId="77777777" w:rsidR="00794651" w:rsidRPr="005F2C03" w:rsidRDefault="00794651" w:rsidP="00794651">
      <w:pPr>
        <w:jc w:val="both"/>
        <w:rPr>
          <w:rFonts w:cs="Arial"/>
          <w:lang w:val="es-ES_tradnl" w:eastAsia="es-CO"/>
        </w:rPr>
      </w:pPr>
    </w:p>
    <w:p w14:paraId="4E2768C0" w14:textId="77777777" w:rsidR="00794651" w:rsidRPr="005F2C03" w:rsidRDefault="00794651" w:rsidP="00794651">
      <w:pPr>
        <w:jc w:val="both"/>
        <w:rPr>
          <w:rFonts w:cs="Arial"/>
          <w:lang w:val="es-ES_tradnl" w:eastAsia="es-CO"/>
        </w:rPr>
      </w:pPr>
      <w:r w:rsidRPr="005F2C03">
        <w:rPr>
          <w:rFonts w:cs="Arial"/>
          <w:lang w:val="es-ES_tradnl" w:eastAsia="es-CO"/>
        </w:rPr>
        <w:t>De aquí nace la importancia de la Federación Aseguradoras Colombianas (</w:t>
      </w:r>
      <w:proofErr w:type="spellStart"/>
      <w:r w:rsidRPr="005F2C03">
        <w:rPr>
          <w:rFonts w:cs="Arial"/>
          <w:lang w:val="es-ES_tradnl" w:eastAsia="es-CO"/>
        </w:rPr>
        <w:t>Fasecolda</w:t>
      </w:r>
      <w:proofErr w:type="spellEnd"/>
      <w:r w:rsidRPr="005F2C03">
        <w:rPr>
          <w:rFonts w:cs="Arial"/>
          <w:lang w:val="es-ES_tradnl" w:eastAsia="es-CO"/>
        </w:rPr>
        <w:t>), el gremio que agrupa a las compañías de seguros, de reaseguros y a las sociedades de capitalización en todo el territorio nacional.</w:t>
      </w:r>
    </w:p>
    <w:p w14:paraId="58EA67AA" w14:textId="77777777" w:rsidR="00794651" w:rsidRPr="005F2C03" w:rsidRDefault="00794651" w:rsidP="00794651">
      <w:pPr>
        <w:jc w:val="both"/>
        <w:rPr>
          <w:rFonts w:cs="Arial"/>
          <w:lang w:val="es-ES_tradnl" w:eastAsia="es-CO"/>
        </w:rPr>
      </w:pPr>
    </w:p>
    <w:p w14:paraId="3397BD66" w14:textId="77777777" w:rsidR="00794651" w:rsidRPr="005F2C03" w:rsidRDefault="00794651" w:rsidP="00794651">
      <w:pPr>
        <w:jc w:val="both"/>
        <w:rPr>
          <w:rFonts w:cs="Arial"/>
          <w:lang w:val="es-ES_tradnl" w:eastAsia="es-CO"/>
        </w:rPr>
      </w:pPr>
      <w:proofErr w:type="spellStart"/>
      <w:r w:rsidRPr="005F2C03">
        <w:rPr>
          <w:rFonts w:cs="Arial"/>
          <w:lang w:val="es-ES_tradnl" w:eastAsia="es-CO"/>
        </w:rPr>
        <w:t>Fasecolda</w:t>
      </w:r>
      <w:proofErr w:type="spellEnd"/>
      <w:r w:rsidRPr="005F2C03">
        <w:rPr>
          <w:rFonts w:cs="Arial"/>
          <w:lang w:val="es-ES_tradnl" w:eastAsia="es-CO"/>
        </w:rPr>
        <w:t xml:space="preserve"> es una Entidad gremial sin ánimo de lucro que representa la actividad del sector asegurador frente a las entidades de vigilancia y control, así como a la sociedad en general.</w:t>
      </w:r>
    </w:p>
    <w:p w14:paraId="5F49C752" w14:textId="77777777" w:rsidR="00794651" w:rsidRPr="005F2C03" w:rsidRDefault="00794651" w:rsidP="00794651">
      <w:pPr>
        <w:jc w:val="both"/>
        <w:rPr>
          <w:rFonts w:cs="Arial"/>
          <w:lang w:val="es-ES_tradnl" w:eastAsia="es-CO"/>
        </w:rPr>
      </w:pPr>
    </w:p>
    <w:p w14:paraId="2136F7A5" w14:textId="77777777" w:rsidR="00A204A8" w:rsidRPr="005F2C03" w:rsidRDefault="00A204A8" w:rsidP="00A204A8">
      <w:pPr>
        <w:jc w:val="both"/>
        <w:rPr>
          <w:lang w:val="es-ES_tradnl"/>
        </w:rPr>
      </w:pPr>
      <w:r w:rsidRPr="005F2C03">
        <w:rPr>
          <w:lang w:val="es-ES_tradnl"/>
        </w:rPr>
        <w:t>El Gobierno Nacional incluyó en la plataforma legislativa del año 90 la reforma al sector asegurador, la cual fue adoptada mediante la Ley 45 de 1990. Esta norma modificó sustancialmente la regulación de la actividad de los seguros en el país, toda vez que hizo aplicable el principio de la libre competencia, introdujo elementos para fortalecer aún más el patrimonio de las entidades, admitió la inversión extranjera hasta el 100%, eliminó las inversiones forzosas, suprimió el monopolio de los seguros oficiales en favor de La Previsora y abolió el control a priori que ejercía la Superintendencia Bancaria. Otras leyes aprobadas en la misma legislatura incidieron igualmente en la operación aseguradora: Reforma cambiaria (seguros en moneda extranjera, inversiones en el exterior e inversión extranjera) y la reforma laboral (creación de los agentes independientes de seguros).</w:t>
      </w:r>
    </w:p>
    <w:p w14:paraId="54C741E4" w14:textId="77777777" w:rsidR="00A204A8" w:rsidRPr="005F2C03" w:rsidRDefault="00A204A8" w:rsidP="00A204A8">
      <w:pPr>
        <w:jc w:val="both"/>
        <w:rPr>
          <w:lang w:val="es-ES_tradnl"/>
        </w:rPr>
      </w:pPr>
    </w:p>
    <w:p w14:paraId="7B37B692" w14:textId="77777777" w:rsidR="00A204A8" w:rsidRPr="005F2C03" w:rsidRDefault="00A204A8" w:rsidP="00A204A8">
      <w:pPr>
        <w:jc w:val="both"/>
        <w:rPr>
          <w:lang w:val="es-ES_tradnl"/>
        </w:rPr>
      </w:pPr>
      <w:r w:rsidRPr="005F2C03">
        <w:rPr>
          <w:lang w:val="es-ES_tradnl"/>
        </w:rPr>
        <w:t>Cabe anotar que algunas normas reglamentarias expedidas con anterioridad a la Ley 45 de 1990 deben entenderse vigentes en la medida en que no contraríen las nuevas disposiciones legales.</w:t>
      </w:r>
    </w:p>
    <w:p w14:paraId="2363EAB7" w14:textId="77777777" w:rsidR="00A204A8" w:rsidRPr="005F2C03" w:rsidRDefault="00A204A8" w:rsidP="00A204A8">
      <w:pPr>
        <w:jc w:val="both"/>
        <w:rPr>
          <w:lang w:val="es-ES_tradnl"/>
        </w:rPr>
      </w:pPr>
    </w:p>
    <w:p w14:paraId="4B3022B5" w14:textId="77777777" w:rsidR="00A204A8" w:rsidRPr="005F2C03" w:rsidRDefault="00A204A8" w:rsidP="00A204A8">
      <w:pPr>
        <w:jc w:val="both"/>
        <w:rPr>
          <w:lang w:val="es-ES_tradnl"/>
        </w:rPr>
      </w:pPr>
      <w:r w:rsidRPr="005F2C03">
        <w:rPr>
          <w:lang w:val="es-ES_tradnl"/>
        </w:rPr>
        <w:t>Finalmente se aprueba la Ley 35 de 1993, o ley marco del sector financiero, bursátil y asegurador, por medio de la cual se dictan las normas generales y se señalan los objetivos y criterios a los cuales deberá sujetarse el Gobierno Nacional para regular estas actividades. Además, esta Ley concede al Presidente de la República facultades extraordinarias con base en las cuales se expidió el Decreto 663 de 1993 por el cual se adopta un nuevo Estatuto Orgánico del Sistema Financiero, modificado por las Leyes 510 de 1999 y 795 de 2003.</w:t>
      </w:r>
      <w:r w:rsidRPr="005F2C03">
        <w:rPr>
          <w:rStyle w:val="Refdenotaalpie"/>
          <w:lang w:val="es-ES_tradnl"/>
        </w:rPr>
        <w:footnoteReference w:id="3"/>
      </w:r>
    </w:p>
    <w:p w14:paraId="10B04463" w14:textId="77777777" w:rsidR="00A204A8" w:rsidRPr="005F2C03" w:rsidRDefault="00A204A8" w:rsidP="00A204A8">
      <w:pPr>
        <w:rPr>
          <w:lang w:val="es-ES_tradnl" w:eastAsia="es-CO"/>
        </w:rPr>
      </w:pPr>
    </w:p>
    <w:p w14:paraId="553C3A25" w14:textId="77777777" w:rsidR="00A204A8" w:rsidRPr="005F2C03" w:rsidRDefault="00A204A8" w:rsidP="00A204A8">
      <w:pPr>
        <w:jc w:val="both"/>
        <w:rPr>
          <w:rFonts w:cs="Arial"/>
          <w:color w:val="000000" w:themeColor="text1"/>
          <w:lang w:val="es-ES_tradnl" w:eastAsia="es-ES_tradnl"/>
        </w:rPr>
      </w:pPr>
      <w:r w:rsidRPr="005F2C03">
        <w:rPr>
          <w:rFonts w:cs="Arial"/>
          <w:color w:val="000000" w:themeColor="text1"/>
          <w:lang w:val="es-ES_tradnl"/>
        </w:rPr>
        <w:lastRenderedPageBreak/>
        <w:t>También está el código de Comercio en el Título V, Capítulo I- Principios Comunes a los Seguros Terrestres, Capítulo II – Seguros de Daños y Capítulo III Seguros de Personas, Artículo 1036 y ss. Define el contrato de seguros así: “El seguro es un contrato consensual, bilateral, oneroso, aleatorio y de ejecución sucesiva”.</w:t>
      </w:r>
    </w:p>
    <w:p w14:paraId="028F6F6B" w14:textId="77777777" w:rsidR="00A204A8" w:rsidRPr="005F2C03" w:rsidRDefault="00A204A8" w:rsidP="00A204A8">
      <w:pPr>
        <w:jc w:val="both"/>
        <w:rPr>
          <w:rFonts w:cs="Arial"/>
          <w:color w:val="000000" w:themeColor="text1"/>
          <w:lang w:val="es-ES_tradnl"/>
        </w:rPr>
      </w:pPr>
    </w:p>
    <w:p w14:paraId="53B20468" w14:textId="77777777" w:rsidR="00A204A8" w:rsidRPr="005F2C03" w:rsidRDefault="00A204A8" w:rsidP="00A204A8">
      <w:pPr>
        <w:jc w:val="both"/>
        <w:rPr>
          <w:rFonts w:cs="Times New Roman"/>
          <w:lang w:val="es-ES_tradnl"/>
        </w:rPr>
      </w:pPr>
      <w:r w:rsidRPr="005F2C03">
        <w:rPr>
          <w:lang w:val="es-ES_tradnl"/>
        </w:rPr>
        <w:t>También esta las disposiciones del decreto 2555 de 2010 por el cual se recogen y reexpiden las normas en materia del sector financiero, asegurador y del mercado de valores.</w:t>
      </w:r>
    </w:p>
    <w:p w14:paraId="6F5FEDE3" w14:textId="77777777" w:rsidR="00A204A8" w:rsidRPr="005F2C03" w:rsidRDefault="00A204A8" w:rsidP="00A204A8">
      <w:pPr>
        <w:jc w:val="both"/>
        <w:rPr>
          <w:lang w:val="es-ES_tradnl"/>
        </w:rPr>
      </w:pPr>
    </w:p>
    <w:p w14:paraId="4E3601B8" w14:textId="77777777" w:rsidR="00A204A8" w:rsidRPr="005F2C03" w:rsidRDefault="00A204A8" w:rsidP="00A204A8">
      <w:pPr>
        <w:jc w:val="both"/>
        <w:rPr>
          <w:lang w:val="es-ES_tradnl"/>
        </w:rPr>
      </w:pPr>
      <w:r w:rsidRPr="005F2C03">
        <w:rPr>
          <w:lang w:val="es-ES_tradnl"/>
        </w:rPr>
        <w:t>La circular básica jurídica (CE 029/14) le da la facultad a la superintendencia financiera de Colombia para controlar, vigilar e inspeccionar a las entidades del sector asegurador.</w:t>
      </w:r>
    </w:p>
    <w:p w14:paraId="08ECCB2F" w14:textId="77777777" w:rsidR="00A204A8" w:rsidRPr="005F2C03" w:rsidRDefault="00A204A8" w:rsidP="00A204A8">
      <w:pPr>
        <w:jc w:val="both"/>
        <w:rPr>
          <w:lang w:val="es-ES_tradnl"/>
        </w:rPr>
      </w:pPr>
    </w:p>
    <w:p w14:paraId="7F3B8DA8" w14:textId="77777777" w:rsidR="00A204A8" w:rsidRPr="005F2C03" w:rsidRDefault="00A204A8" w:rsidP="00A204A8">
      <w:pPr>
        <w:jc w:val="both"/>
        <w:rPr>
          <w:lang w:val="es-ES_tradnl"/>
        </w:rPr>
      </w:pPr>
      <w:r w:rsidRPr="005F2C03">
        <w:rPr>
          <w:lang w:val="es-ES_tradnl"/>
        </w:rPr>
        <w:t>También es importante resaltar que el estatuto tributario fija la tarifa del impuesto al valor agregado en 19% para los seguros generales, y la tarifa 0 para los seguros de personas.</w:t>
      </w:r>
    </w:p>
    <w:p w14:paraId="2AB66017" w14:textId="77777777" w:rsidR="00A204A8" w:rsidRPr="005F2C03" w:rsidRDefault="00A204A8" w:rsidP="00A204A8">
      <w:pPr>
        <w:jc w:val="both"/>
        <w:rPr>
          <w:lang w:val="es-ES_tradnl"/>
        </w:rPr>
      </w:pPr>
    </w:p>
    <w:p w14:paraId="31912826" w14:textId="77777777" w:rsidR="00A204A8" w:rsidRPr="005F2C03" w:rsidRDefault="00A204A8" w:rsidP="00A204A8">
      <w:pPr>
        <w:jc w:val="both"/>
        <w:rPr>
          <w:lang w:val="es-ES_tradnl"/>
        </w:rPr>
      </w:pPr>
      <w:r w:rsidRPr="005F2C03">
        <w:rPr>
          <w:rFonts w:cs="Arial"/>
          <w:color w:val="000000" w:themeColor="text1"/>
          <w:lang w:val="es-ES_tradnl"/>
        </w:rPr>
        <w:t>De acuerdo con lo establecido en el inciso segundo, numeral 1º, artículo 184 EOSF (*), la aprobación previa de pólizas y tarifas por parte de la SFC sólo es necesaria cuando se trata de la autorización inicial a una entidad aseguradora o de la correspondiente para la explotación de un nuevo ramo</w:t>
      </w:r>
    </w:p>
    <w:p w14:paraId="28BE12D2" w14:textId="77777777" w:rsidR="00A204A8" w:rsidRPr="005F2C03" w:rsidRDefault="00A204A8" w:rsidP="00A204A8">
      <w:pPr>
        <w:jc w:val="both"/>
        <w:rPr>
          <w:lang w:val="es-ES_tradnl" w:eastAsia="es-CO"/>
        </w:rPr>
      </w:pPr>
      <w:r w:rsidRPr="005F2C03">
        <w:rPr>
          <w:lang w:val="es-ES_tradnl" w:eastAsia="es-CO"/>
        </w:rPr>
        <w:t>El estatuto orgánico del sistema financiero establece para las tarifas de las pólizas que:</w:t>
      </w:r>
    </w:p>
    <w:p w14:paraId="1EE4D40A" w14:textId="77777777" w:rsidR="00A204A8" w:rsidRPr="005F2C03" w:rsidRDefault="00A204A8" w:rsidP="00A204A8">
      <w:pPr>
        <w:jc w:val="both"/>
        <w:rPr>
          <w:lang w:val="es-ES_tradnl" w:eastAsia="es-CO"/>
        </w:rPr>
      </w:pPr>
    </w:p>
    <w:p w14:paraId="4BA73DA0" w14:textId="77777777" w:rsidR="00A204A8" w:rsidRPr="005F2C03" w:rsidRDefault="00A204A8" w:rsidP="00A204A8">
      <w:pPr>
        <w:ind w:firstLine="708"/>
        <w:jc w:val="both"/>
        <w:rPr>
          <w:lang w:val="es-ES_tradnl" w:eastAsia="es-CO"/>
        </w:rPr>
      </w:pPr>
      <w:r w:rsidRPr="005F2C03">
        <w:rPr>
          <w:lang w:val="es-ES_tradnl" w:eastAsia="es-CO"/>
        </w:rPr>
        <w:t xml:space="preserve">“Requisitos de las tarifas. Las tarifas cumplirán las siguientes reglas: </w:t>
      </w:r>
    </w:p>
    <w:p w14:paraId="69F41397" w14:textId="77777777" w:rsidR="00A204A8" w:rsidRPr="005F2C03" w:rsidRDefault="00A204A8" w:rsidP="00A204A8">
      <w:pPr>
        <w:ind w:firstLine="708"/>
        <w:jc w:val="both"/>
        <w:rPr>
          <w:lang w:val="es-ES_tradnl" w:eastAsia="es-CO"/>
        </w:rPr>
      </w:pPr>
    </w:p>
    <w:p w14:paraId="53A07A58" w14:textId="77777777" w:rsidR="00A204A8" w:rsidRPr="005F2C03" w:rsidRDefault="00A204A8" w:rsidP="00A204A8">
      <w:pPr>
        <w:jc w:val="both"/>
        <w:rPr>
          <w:lang w:val="es-ES_tradnl" w:eastAsia="es-CO"/>
        </w:rPr>
      </w:pPr>
      <w:r w:rsidRPr="005F2C03">
        <w:rPr>
          <w:lang w:val="es-ES_tradnl" w:eastAsia="es-CO"/>
        </w:rPr>
        <w:t xml:space="preserve">a. Deben observar los principios técnicos de equidad y suficiencia; </w:t>
      </w:r>
    </w:p>
    <w:p w14:paraId="4E8270CA" w14:textId="77777777" w:rsidR="00A204A8" w:rsidRPr="005F2C03" w:rsidRDefault="00A204A8" w:rsidP="00A204A8">
      <w:pPr>
        <w:jc w:val="both"/>
        <w:rPr>
          <w:lang w:val="es-ES_tradnl" w:eastAsia="es-CO"/>
        </w:rPr>
      </w:pPr>
      <w:r w:rsidRPr="005F2C03">
        <w:rPr>
          <w:lang w:val="es-ES_tradnl" w:eastAsia="es-CO"/>
        </w:rPr>
        <w:t xml:space="preserve">b. Deben ser el producto de la utilización de información estadística que cumpla exigencias de homogeneidad y representatividad, y </w:t>
      </w:r>
    </w:p>
    <w:p w14:paraId="7D2DC1A8" w14:textId="77777777" w:rsidR="00A204A8" w:rsidRPr="005F2C03" w:rsidRDefault="00A204A8" w:rsidP="00A204A8">
      <w:pPr>
        <w:jc w:val="both"/>
        <w:rPr>
          <w:lang w:val="es-ES_tradnl" w:eastAsia="es-CO"/>
        </w:rPr>
      </w:pPr>
      <w:r w:rsidRPr="005F2C03">
        <w:rPr>
          <w:lang w:val="es-ES_tradnl" w:eastAsia="es-CO"/>
        </w:rPr>
        <w:t xml:space="preserve">c. Ser el producto del respaldo de reaseguradores de reconocida solvencia técnica y financiera, en aquellos riesgos que por su naturaleza no resulte viable el cumplimiento de las exigencias contenidas en la letra anterior”. </w:t>
      </w:r>
    </w:p>
    <w:p w14:paraId="5F6B46C9" w14:textId="77777777" w:rsidR="00A204A8" w:rsidRPr="005F2C03" w:rsidRDefault="00A204A8" w:rsidP="00A204A8">
      <w:pPr>
        <w:jc w:val="both"/>
        <w:rPr>
          <w:rFonts w:cs="Arial"/>
          <w:color w:val="000000" w:themeColor="text1"/>
          <w:lang w:val="es-ES_tradnl" w:eastAsia="es-ES_tradnl"/>
        </w:rPr>
      </w:pPr>
    </w:p>
    <w:p w14:paraId="3187777E" w14:textId="77777777" w:rsidR="00A204A8" w:rsidRPr="005F2C03" w:rsidRDefault="00A204A8" w:rsidP="00A204A8">
      <w:pPr>
        <w:jc w:val="both"/>
        <w:rPr>
          <w:rFonts w:cs="Times New Roman"/>
          <w:lang w:val="es-ES_tradnl"/>
        </w:rPr>
      </w:pPr>
      <w:r w:rsidRPr="005F2C03">
        <w:rPr>
          <w:rFonts w:cs="Arial"/>
          <w:color w:val="000000" w:themeColor="text1"/>
          <w:lang w:val="es-ES_tradnl"/>
        </w:rPr>
        <w:t>Se complementa esta normatividad con la emitida por la Superintendencia Financiera, Entidad que regula la actividad de las Compañías Aseguradoras y de los Intermediarios de Seguros. Igualmente, debe tenerse presente, las normas que expide el Congreso de la República en materia de intermediación financiera, actividad aseguradora y otras disposiciones.</w:t>
      </w:r>
    </w:p>
    <w:p w14:paraId="34FFFAE2" w14:textId="0B2CEDCE" w:rsidR="00A204A8" w:rsidRPr="005F2C03" w:rsidRDefault="00A204A8" w:rsidP="00C4639A">
      <w:pPr>
        <w:pStyle w:val="TtuloTDC"/>
        <w:spacing w:line="240" w:lineRule="auto"/>
        <w:contextualSpacing/>
        <w:jc w:val="both"/>
        <w:rPr>
          <w:rFonts w:ascii="Arial Narrow" w:hAnsi="Arial Narrow" w:cs="Arial"/>
          <w:b/>
          <w:color w:val="000000" w:themeColor="text1"/>
          <w:sz w:val="22"/>
          <w:szCs w:val="22"/>
          <w:lang w:val="es-ES_tradnl"/>
        </w:rPr>
      </w:pPr>
      <w:r w:rsidRPr="005F2C03">
        <w:rPr>
          <w:rFonts w:ascii="Arial Narrow" w:hAnsi="Arial Narrow" w:cs="Arial"/>
          <w:b/>
          <w:color w:val="000000" w:themeColor="text1"/>
          <w:sz w:val="22"/>
          <w:szCs w:val="22"/>
          <w:lang w:val="es-ES_tradnl"/>
        </w:rPr>
        <w:t>Elementos del Contrato de Seguros</w:t>
      </w:r>
    </w:p>
    <w:p w14:paraId="5B488F56" w14:textId="77777777" w:rsidR="00A204A8" w:rsidRPr="005F2C03" w:rsidRDefault="00A204A8" w:rsidP="00A204A8">
      <w:pPr>
        <w:jc w:val="both"/>
        <w:rPr>
          <w:rFonts w:eastAsia="Batang" w:cs="Arial"/>
          <w:color w:val="000000" w:themeColor="text1"/>
          <w:lang w:val="es-ES_tradnl"/>
        </w:rPr>
      </w:pPr>
      <w:r w:rsidRPr="005F2C03">
        <w:rPr>
          <w:rFonts w:eastAsia="Batang" w:cs="Arial"/>
          <w:color w:val="000000" w:themeColor="text1"/>
          <w:lang w:val="es-ES_tradnl"/>
        </w:rPr>
        <w:t xml:space="preserve">La función indemnizatoria del seguro permite a la sociedad enfrentar los diferentes riesgos a los que se exponen sus bienes y su patrimonio, en la medida en que los protege cuando se presentan siniestros, que son tan diversos, como diversos son los riesgos que pueden presentar. </w:t>
      </w:r>
    </w:p>
    <w:p w14:paraId="09AFAAEA" w14:textId="77777777" w:rsidR="00A204A8" w:rsidRPr="005F2C03" w:rsidRDefault="00A204A8" w:rsidP="00A204A8">
      <w:pPr>
        <w:jc w:val="both"/>
        <w:rPr>
          <w:rFonts w:eastAsia="Batang" w:cs="Arial"/>
          <w:color w:val="000000" w:themeColor="text1"/>
          <w:lang w:val="es-ES_tradnl"/>
        </w:rPr>
      </w:pPr>
    </w:p>
    <w:p w14:paraId="333C903A" w14:textId="28027917" w:rsidR="00A204A8" w:rsidRPr="005F2C03" w:rsidRDefault="00A204A8" w:rsidP="00A204A8">
      <w:pPr>
        <w:jc w:val="both"/>
        <w:rPr>
          <w:rFonts w:eastAsia="Times New Roman" w:cs="Arial"/>
          <w:color w:val="000000" w:themeColor="text1"/>
          <w:lang w:val="es-ES_tradnl"/>
        </w:rPr>
      </w:pPr>
      <w:r w:rsidRPr="005F2C03">
        <w:rPr>
          <w:rFonts w:eastAsia="Batang" w:cs="Arial"/>
          <w:color w:val="000000" w:themeColor="text1"/>
          <w:lang w:val="es-ES_tradnl"/>
        </w:rPr>
        <w:t xml:space="preserve">Igualmente, el seguro apoya a las Entidades estatales en la protección sobre sus bienes y patrimonio, bien sea indemnizando los daños causados a su propiedad, o bien sea reparando a víctimas por perjuicios causados a terceros. </w:t>
      </w:r>
      <w:r w:rsidRPr="005F2C03">
        <w:rPr>
          <w:rFonts w:eastAsia="Cambria"/>
          <w:color w:val="000000" w:themeColor="text1"/>
          <w:lang w:val="es-ES_tradnl"/>
        </w:rPr>
        <w:t>A través de la celebración de contratos de seguros. Las Entidades Estatales buscan proteger su patrimonio contra la mayor cantidad de riesgos a los cuales se encuentra expuesto</w:t>
      </w:r>
      <w:r w:rsidRPr="005F2C03">
        <w:rPr>
          <w:rFonts w:eastAsia="Batang" w:cs="Arial"/>
          <w:color w:val="000000" w:themeColor="text1"/>
          <w:lang w:val="es-ES_tradnl"/>
        </w:rPr>
        <w:t xml:space="preserve">. Es así que </w:t>
      </w:r>
      <w:r w:rsidRPr="005F2C03">
        <w:rPr>
          <w:rFonts w:eastAsia="Cambria"/>
          <w:color w:val="000000" w:themeColor="text1"/>
          <w:lang w:val="es-ES_tradnl"/>
        </w:rPr>
        <w:t xml:space="preserve">los bienes e intereses patrimoniales </w:t>
      </w:r>
      <w:r w:rsidR="00FB1179" w:rsidRPr="005F2C03">
        <w:rPr>
          <w:rFonts w:eastAsia="Cambria"/>
          <w:color w:val="000000" w:themeColor="text1"/>
          <w:lang w:val="es-ES_tradnl"/>
        </w:rPr>
        <w:t>de la ELC</w:t>
      </w:r>
      <w:r w:rsidRPr="005F2C03">
        <w:rPr>
          <w:rFonts w:eastAsia="Cambria"/>
          <w:color w:val="000000" w:themeColor="text1"/>
          <w:lang w:val="es-ES_tradnl"/>
        </w:rPr>
        <w:t xml:space="preserve">, al encontrarse a una gran cantidad de riesgos que, en el evento de realizarse, producirían un detrimento al patrimonio de la Entidad, se hace necesario la contratación de seguros que protejan </w:t>
      </w:r>
      <w:r w:rsidRPr="005F2C03">
        <w:rPr>
          <w:rFonts w:eastAsia="Cambria"/>
          <w:color w:val="000000" w:themeColor="text1"/>
          <w:lang w:val="es-ES_tradnl"/>
        </w:rPr>
        <w:lastRenderedPageBreak/>
        <w:t xml:space="preserve">este patrimonio, además de cumplir con la obligación de las Entidades del Estado asegurar sus bienes e intereses patrimoniales. </w:t>
      </w:r>
    </w:p>
    <w:p w14:paraId="3575C3E8" w14:textId="77777777" w:rsidR="00A204A8" w:rsidRPr="005F2C03" w:rsidRDefault="00A204A8" w:rsidP="00A204A8">
      <w:pPr>
        <w:jc w:val="both"/>
        <w:rPr>
          <w:rFonts w:eastAsia="Cambria" w:cs="Times New Roman"/>
          <w:color w:val="000000" w:themeColor="text1"/>
          <w:lang w:val="es-ES_tradnl"/>
        </w:rPr>
      </w:pPr>
    </w:p>
    <w:p w14:paraId="01E97606" w14:textId="77777777" w:rsidR="00A204A8" w:rsidRPr="005F2C03" w:rsidRDefault="00A204A8" w:rsidP="00A204A8">
      <w:pPr>
        <w:jc w:val="both"/>
        <w:rPr>
          <w:rFonts w:eastAsia="Batang" w:cs="Arial"/>
          <w:color w:val="000000" w:themeColor="text1"/>
          <w:lang w:val="es-ES_tradnl"/>
        </w:rPr>
      </w:pPr>
      <w:r w:rsidRPr="005F2C03">
        <w:rPr>
          <w:rFonts w:eastAsia="Cambria"/>
          <w:color w:val="000000" w:themeColor="text1"/>
          <w:lang w:val="es-ES_tradnl"/>
        </w:rPr>
        <w:t>EL código de comercio colombiano no tiene una definición puntual del contrato de seguros, simplemente señala sus características, por tanto, es importante conocer el significado de algunas de sus elementos:</w:t>
      </w:r>
    </w:p>
    <w:p w14:paraId="74617661" w14:textId="77777777" w:rsidR="00A204A8" w:rsidRPr="005F2C03" w:rsidRDefault="00A204A8" w:rsidP="00A204A8">
      <w:pPr>
        <w:jc w:val="both"/>
        <w:rPr>
          <w:rFonts w:eastAsia="Batang" w:cs="Arial"/>
          <w:color w:val="000000" w:themeColor="text1"/>
          <w:lang w:val="es-ES_tradnl"/>
        </w:rPr>
      </w:pPr>
    </w:p>
    <w:tbl>
      <w:tblPr>
        <w:tblStyle w:val="Tablaconcuadrcula"/>
        <w:tblW w:w="0" w:type="auto"/>
        <w:jc w:val="center"/>
        <w:tblLook w:val="04A0" w:firstRow="1" w:lastRow="0" w:firstColumn="1" w:lastColumn="0" w:noHBand="0" w:noVBand="1"/>
      </w:tblPr>
      <w:tblGrid>
        <w:gridCol w:w="2056"/>
        <w:gridCol w:w="11"/>
        <w:gridCol w:w="6717"/>
      </w:tblGrid>
      <w:tr w:rsidR="00A204A8" w:rsidRPr="005F2C03" w14:paraId="0C68F6BC"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5A075BE7" w14:textId="77777777" w:rsidR="00A204A8" w:rsidRPr="005F2C03" w:rsidRDefault="00A204A8">
            <w:pPr>
              <w:jc w:val="both"/>
              <w:rPr>
                <w:rFonts w:eastAsia="Times New Roman" w:cs="Arial"/>
                <w:color w:val="000000" w:themeColor="text1"/>
                <w:lang w:val="es-ES_tradnl"/>
              </w:rPr>
            </w:pPr>
            <w:r w:rsidRPr="005F2C03">
              <w:rPr>
                <w:rFonts w:cs="Arial"/>
                <w:color w:val="000000" w:themeColor="text1"/>
                <w:lang w:val="es-ES_tradnl"/>
              </w:rPr>
              <w:t>Interés asegurable</w:t>
            </w:r>
          </w:p>
        </w:tc>
        <w:tc>
          <w:tcPr>
            <w:tcW w:w="6728" w:type="dxa"/>
            <w:gridSpan w:val="2"/>
            <w:tcBorders>
              <w:top w:val="single" w:sz="4" w:space="0" w:color="auto"/>
              <w:left w:val="single" w:sz="4" w:space="0" w:color="auto"/>
              <w:bottom w:val="single" w:sz="4" w:space="0" w:color="auto"/>
              <w:right w:val="single" w:sz="4" w:space="0" w:color="auto"/>
            </w:tcBorders>
            <w:hideMark/>
          </w:tcPr>
          <w:p w14:paraId="675D96A4"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Es la relación jurídico-económica debe existir entre quien toma el seguros con lo que se asegura, sea esto una vida, un bien o el patrimonio.</w:t>
            </w:r>
          </w:p>
        </w:tc>
      </w:tr>
      <w:tr w:rsidR="00A204A8" w:rsidRPr="005F2C03" w14:paraId="0B59BB50"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31CE4604"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 xml:space="preserve">Riesgo asegurable: </w:t>
            </w:r>
          </w:p>
        </w:tc>
        <w:tc>
          <w:tcPr>
            <w:tcW w:w="6728" w:type="dxa"/>
            <w:gridSpan w:val="2"/>
            <w:tcBorders>
              <w:top w:val="single" w:sz="4" w:space="0" w:color="auto"/>
              <w:left w:val="single" w:sz="4" w:space="0" w:color="auto"/>
              <w:bottom w:val="single" w:sz="4" w:space="0" w:color="auto"/>
              <w:right w:val="single" w:sz="4" w:space="0" w:color="auto"/>
            </w:tcBorders>
            <w:hideMark/>
          </w:tcPr>
          <w:p w14:paraId="5160D860" w14:textId="01694BE4" w:rsidR="00A204A8" w:rsidRPr="005F2C03" w:rsidRDefault="00A204A8">
            <w:pPr>
              <w:jc w:val="both"/>
              <w:rPr>
                <w:rFonts w:cs="Arial"/>
                <w:color w:val="000000" w:themeColor="text1"/>
                <w:lang w:val="es-ES_tradnl"/>
              </w:rPr>
            </w:pPr>
            <w:r w:rsidRPr="005F2C03">
              <w:rPr>
                <w:rFonts w:cs="Arial"/>
                <w:color w:val="000000" w:themeColor="text1"/>
                <w:lang w:val="es-ES_tradnl"/>
              </w:rPr>
              <w:t xml:space="preserve">Riesgo es el suceso incierto que no depende exclusivamente de la voluntad del tomador, del asegurado o del beneficiario del seguro, y cuta realización da origen a la obligación del asegurador. Los hechos ciertos como la muerte salvo la muerte, y los físicamente imposibles no constituyen riesgos y son, por lo tanto, extraños al seguro. También el dolo y los actos meramente potestativos del tomador, beneficiario o </w:t>
            </w:r>
            <w:r w:rsidR="00946160" w:rsidRPr="005F2C03">
              <w:rPr>
                <w:rFonts w:cs="Arial"/>
                <w:color w:val="000000" w:themeColor="text1"/>
                <w:lang w:val="es-ES_tradnl"/>
              </w:rPr>
              <w:t>asegurado</w:t>
            </w:r>
            <w:r w:rsidRPr="005F2C03">
              <w:rPr>
                <w:rFonts w:cs="Arial"/>
                <w:color w:val="000000" w:themeColor="text1"/>
                <w:lang w:val="es-ES_tradnl"/>
              </w:rPr>
              <w:t xml:space="preserve"> son </w:t>
            </w:r>
            <w:proofErr w:type="spellStart"/>
            <w:r w:rsidRPr="005F2C03">
              <w:rPr>
                <w:rFonts w:cs="Arial"/>
                <w:color w:val="000000" w:themeColor="text1"/>
                <w:lang w:val="es-ES_tradnl"/>
              </w:rPr>
              <w:t>inasegurables</w:t>
            </w:r>
            <w:proofErr w:type="spellEnd"/>
            <w:r w:rsidRPr="005F2C03">
              <w:rPr>
                <w:rFonts w:cs="Arial"/>
                <w:color w:val="000000" w:themeColor="text1"/>
                <w:lang w:val="es-ES_tradnl"/>
              </w:rPr>
              <w:t>.</w:t>
            </w:r>
          </w:p>
        </w:tc>
      </w:tr>
      <w:tr w:rsidR="00A204A8" w:rsidRPr="005F2C03" w14:paraId="4D2D4D04"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0C7396C6"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Suma Asegurada</w:t>
            </w:r>
          </w:p>
        </w:tc>
        <w:tc>
          <w:tcPr>
            <w:tcW w:w="6728" w:type="dxa"/>
            <w:gridSpan w:val="2"/>
            <w:tcBorders>
              <w:top w:val="single" w:sz="4" w:space="0" w:color="auto"/>
              <w:left w:val="single" w:sz="4" w:space="0" w:color="auto"/>
              <w:bottom w:val="single" w:sz="4" w:space="0" w:color="auto"/>
              <w:right w:val="single" w:sz="4" w:space="0" w:color="auto"/>
            </w:tcBorders>
            <w:hideMark/>
          </w:tcPr>
          <w:p w14:paraId="496BF1EF"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Es el valor atribuido por el Asegurador a los bienes cubiertos por la póliza y representa el límite máximo de la indemnización apagar por el Asegurador en cada siniestro. La suma asegurada coincide con el valor el Asegurado en la solicitud para contratar un seguro.</w:t>
            </w:r>
          </w:p>
        </w:tc>
      </w:tr>
      <w:tr w:rsidR="00A204A8" w:rsidRPr="005F2C03" w14:paraId="309F6BB6"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5DF08192"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Amparos</w:t>
            </w:r>
          </w:p>
        </w:tc>
        <w:tc>
          <w:tcPr>
            <w:tcW w:w="6728" w:type="dxa"/>
            <w:gridSpan w:val="2"/>
            <w:tcBorders>
              <w:top w:val="single" w:sz="4" w:space="0" w:color="auto"/>
              <w:left w:val="single" w:sz="4" w:space="0" w:color="auto"/>
              <w:bottom w:val="single" w:sz="4" w:space="0" w:color="auto"/>
              <w:right w:val="single" w:sz="4" w:space="0" w:color="auto"/>
            </w:tcBorders>
            <w:hideMark/>
          </w:tcPr>
          <w:p w14:paraId="6EA7A630"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de acuerdo con la cosa que deseamos asegurar se deben establecer las coberturas o amparos en las pólizas, estas se refieren a aquellos eventos contra los que se pretenden resguardar el bien o cosa objeto del seguro</w:t>
            </w:r>
          </w:p>
        </w:tc>
      </w:tr>
      <w:tr w:rsidR="00A204A8" w:rsidRPr="005F2C03" w14:paraId="4A29EDC2"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6EF3EAB9"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Tasa o Prima de Seguro</w:t>
            </w:r>
          </w:p>
        </w:tc>
        <w:tc>
          <w:tcPr>
            <w:tcW w:w="6728" w:type="dxa"/>
            <w:gridSpan w:val="2"/>
            <w:tcBorders>
              <w:top w:val="single" w:sz="4" w:space="0" w:color="auto"/>
              <w:left w:val="single" w:sz="4" w:space="0" w:color="auto"/>
              <w:bottom w:val="single" w:sz="4" w:space="0" w:color="auto"/>
              <w:right w:val="single" w:sz="4" w:space="0" w:color="auto"/>
            </w:tcBorders>
            <w:hideMark/>
          </w:tcPr>
          <w:p w14:paraId="1E80B199"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Es el pago al cual se compromete el Tomador de la póliza a la Aseguradora por el traslado del riesgo</w:t>
            </w:r>
          </w:p>
        </w:tc>
      </w:tr>
      <w:tr w:rsidR="00A204A8" w:rsidRPr="005F2C03" w14:paraId="68265914"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459307A3"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Indemnización</w:t>
            </w:r>
          </w:p>
        </w:tc>
        <w:tc>
          <w:tcPr>
            <w:tcW w:w="6728" w:type="dxa"/>
            <w:gridSpan w:val="2"/>
            <w:tcBorders>
              <w:top w:val="single" w:sz="4" w:space="0" w:color="auto"/>
              <w:left w:val="single" w:sz="4" w:space="0" w:color="auto"/>
              <w:bottom w:val="single" w:sz="4" w:space="0" w:color="auto"/>
              <w:right w:val="single" w:sz="4" w:space="0" w:color="auto"/>
            </w:tcBorders>
            <w:hideMark/>
          </w:tcPr>
          <w:p w14:paraId="3498E217"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es el pago al que se obliga realizar la Aseguradora en el plazo legal (un mes) una vez ocurrido el siniestro, para lo cual el Asegurado deberá demostrar su ocurrencia y cuantía</w:t>
            </w:r>
          </w:p>
        </w:tc>
      </w:tr>
      <w:tr w:rsidR="00A204A8" w:rsidRPr="005F2C03" w14:paraId="26098CAB"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22345478" w14:textId="77777777" w:rsidR="00A204A8" w:rsidRPr="005F2C03" w:rsidRDefault="00A204A8">
            <w:pPr>
              <w:jc w:val="both"/>
              <w:rPr>
                <w:rFonts w:cs="Arial"/>
                <w:color w:val="000000" w:themeColor="text1"/>
                <w:lang w:val="es-ES_tradnl"/>
              </w:rPr>
            </w:pPr>
            <w:bookmarkStart w:id="6" w:name="_Toc41048556"/>
            <w:bookmarkStart w:id="7" w:name="_Toc14162595"/>
            <w:bookmarkStart w:id="8" w:name="_Toc518922179"/>
            <w:r w:rsidRPr="005F2C03">
              <w:rPr>
                <w:rFonts w:cs="Arial"/>
                <w:color w:val="000000" w:themeColor="text1"/>
                <w:lang w:val="es-ES_tradnl"/>
              </w:rPr>
              <w:t>Condiciones Generales del Contrato De Seguro</w:t>
            </w:r>
            <w:bookmarkEnd w:id="6"/>
            <w:bookmarkEnd w:id="7"/>
            <w:bookmarkEnd w:id="8"/>
          </w:p>
        </w:tc>
        <w:tc>
          <w:tcPr>
            <w:tcW w:w="6728" w:type="dxa"/>
            <w:gridSpan w:val="2"/>
            <w:tcBorders>
              <w:top w:val="single" w:sz="4" w:space="0" w:color="auto"/>
              <w:left w:val="single" w:sz="4" w:space="0" w:color="auto"/>
              <w:bottom w:val="single" w:sz="4" w:space="0" w:color="auto"/>
              <w:right w:val="single" w:sz="4" w:space="0" w:color="auto"/>
            </w:tcBorders>
          </w:tcPr>
          <w:p w14:paraId="4C995144"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Se entiende por condiciones generales aquellas que establecen el conjunto de principios que prevé la empresa de seguros para regular todos los contratos de seguro que emita en el mismo ramo o modalidad.</w:t>
            </w:r>
          </w:p>
          <w:p w14:paraId="30CF7718" w14:textId="77777777" w:rsidR="00A204A8" w:rsidRPr="005F2C03" w:rsidRDefault="00A204A8">
            <w:pPr>
              <w:jc w:val="both"/>
              <w:rPr>
                <w:rFonts w:cs="Arial"/>
                <w:color w:val="000000" w:themeColor="text1"/>
                <w:lang w:val="es-ES_tradnl"/>
              </w:rPr>
            </w:pPr>
          </w:p>
          <w:p w14:paraId="2218A1F2"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Estas condiciones son las que establecen la relación contractual entre la Aseguradora y el Tomador del contrato de seguro, se encuentran preestablecidas y aunque normalmente son aceptadas por adhesión del Tomador, pueden de igual manera anularse o modificarse por acuerdo entre las partes, mediante la emisión de una condición particular</w:t>
            </w:r>
          </w:p>
        </w:tc>
      </w:tr>
      <w:tr w:rsidR="00A204A8" w:rsidRPr="005F2C03" w14:paraId="7DF123E4"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57664819"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Condiciones Particulares del Contrato De Seguro</w:t>
            </w:r>
          </w:p>
        </w:tc>
        <w:tc>
          <w:tcPr>
            <w:tcW w:w="6728" w:type="dxa"/>
            <w:gridSpan w:val="2"/>
            <w:tcBorders>
              <w:top w:val="single" w:sz="4" w:space="0" w:color="auto"/>
              <w:left w:val="single" w:sz="4" w:space="0" w:color="auto"/>
              <w:bottom w:val="single" w:sz="4" w:space="0" w:color="auto"/>
              <w:right w:val="single" w:sz="4" w:space="0" w:color="auto"/>
            </w:tcBorders>
          </w:tcPr>
          <w:p w14:paraId="09E8C7F8" w14:textId="77777777" w:rsidR="00A204A8" w:rsidRPr="005F2C03" w:rsidRDefault="00A204A8">
            <w:pPr>
              <w:jc w:val="both"/>
              <w:rPr>
                <w:rFonts w:eastAsia="Batang" w:cs="Arial"/>
                <w:lang w:val="es-ES_tradnl"/>
              </w:rPr>
            </w:pPr>
            <w:r w:rsidRPr="005F2C03">
              <w:rPr>
                <w:rFonts w:eastAsia="Batang" w:cs="Arial"/>
                <w:lang w:val="es-ES_tradnl"/>
              </w:rPr>
              <w:t>Son aquellas condiciones que contemplan los aspectos concretamente relativos al riesgo que se asegura y que tienen por objeto, incluir nuevas condiciones, modificar o anular condiciones generales o particulares ya existentes.</w:t>
            </w:r>
          </w:p>
          <w:p w14:paraId="424C2340" w14:textId="77777777" w:rsidR="00A204A8" w:rsidRPr="005F2C03" w:rsidRDefault="00A204A8">
            <w:pPr>
              <w:jc w:val="both"/>
              <w:rPr>
                <w:rFonts w:eastAsia="Times New Roman" w:cs="Arial"/>
                <w:color w:val="000000" w:themeColor="text1"/>
                <w:lang w:val="es-ES_tradnl"/>
              </w:rPr>
            </w:pPr>
          </w:p>
        </w:tc>
      </w:tr>
      <w:tr w:rsidR="00A204A8" w:rsidRPr="005F2C03" w14:paraId="476F08F2"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tcPr>
          <w:p w14:paraId="26FAD345" w14:textId="77777777" w:rsidR="00A204A8" w:rsidRPr="005F2C03" w:rsidRDefault="00A204A8">
            <w:pPr>
              <w:jc w:val="both"/>
              <w:rPr>
                <w:rFonts w:cs="Arial"/>
                <w:color w:val="000000" w:themeColor="text1"/>
                <w:lang w:val="es-ES_tradnl"/>
              </w:rPr>
            </w:pPr>
            <w:bookmarkStart w:id="9" w:name="_Toc41048558"/>
            <w:r w:rsidRPr="005F2C03">
              <w:rPr>
                <w:rFonts w:cs="Arial"/>
                <w:color w:val="000000" w:themeColor="text1"/>
                <w:lang w:val="es-ES_tradnl"/>
              </w:rPr>
              <w:t>La póliza</w:t>
            </w:r>
            <w:bookmarkEnd w:id="9"/>
          </w:p>
          <w:p w14:paraId="7F87D834" w14:textId="77777777" w:rsidR="00A204A8" w:rsidRPr="005F2C03" w:rsidRDefault="00A204A8">
            <w:pPr>
              <w:jc w:val="both"/>
              <w:rPr>
                <w:rFonts w:cs="Arial"/>
                <w:color w:val="000000" w:themeColor="text1"/>
                <w:lang w:val="es-ES_tradnl"/>
              </w:rPr>
            </w:pPr>
          </w:p>
        </w:tc>
        <w:tc>
          <w:tcPr>
            <w:tcW w:w="6728" w:type="dxa"/>
            <w:gridSpan w:val="2"/>
            <w:tcBorders>
              <w:top w:val="single" w:sz="4" w:space="0" w:color="auto"/>
              <w:left w:val="single" w:sz="4" w:space="0" w:color="auto"/>
              <w:bottom w:val="single" w:sz="4" w:space="0" w:color="auto"/>
              <w:right w:val="single" w:sz="4" w:space="0" w:color="auto"/>
            </w:tcBorders>
          </w:tcPr>
          <w:p w14:paraId="197E3070"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La póliza de seguro es el documento escrito en donde constan las condiciones del contrato.</w:t>
            </w:r>
          </w:p>
          <w:p w14:paraId="191501BF" w14:textId="77777777" w:rsidR="00A204A8" w:rsidRPr="005F2C03" w:rsidRDefault="00A204A8">
            <w:pPr>
              <w:jc w:val="both"/>
              <w:rPr>
                <w:rFonts w:cs="Arial"/>
                <w:color w:val="000000" w:themeColor="text1"/>
                <w:lang w:val="es-ES_tradnl"/>
              </w:rPr>
            </w:pPr>
          </w:p>
          <w:p w14:paraId="55F0B3AF" w14:textId="77777777" w:rsidR="00A204A8" w:rsidRPr="005F2C03" w:rsidRDefault="00A204A8">
            <w:pPr>
              <w:jc w:val="both"/>
              <w:rPr>
                <w:rFonts w:eastAsia="Batang" w:cs="Arial"/>
                <w:lang w:val="es-ES_tradnl"/>
              </w:rPr>
            </w:pPr>
            <w:r w:rsidRPr="005F2C03">
              <w:rPr>
                <w:rFonts w:eastAsia="Batang" w:cs="Arial"/>
                <w:lang w:val="es-ES_tradnl"/>
              </w:rPr>
              <w:lastRenderedPageBreak/>
              <w:t>Las pólizas de seguros deberán contener como mínimo:</w:t>
            </w:r>
          </w:p>
          <w:p w14:paraId="0E2A1C5D" w14:textId="77777777" w:rsidR="00A204A8" w:rsidRPr="005F2C03" w:rsidRDefault="00A204A8">
            <w:pPr>
              <w:jc w:val="both"/>
              <w:rPr>
                <w:rFonts w:eastAsia="Batang" w:cs="Arial"/>
                <w:lang w:val="es-ES_tradnl"/>
              </w:rPr>
            </w:pPr>
          </w:p>
          <w:p w14:paraId="008EE2D2"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Razón social, registro de información fiscal (RIF), datos de registro mercantil y dirección de la sede principal de la empresa de seguros, identificación de la persona que actúa en su nombre, el carácter con el que actúa y los datos del documento donde consta su representación.</w:t>
            </w:r>
          </w:p>
          <w:p w14:paraId="04A04D43"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Identificación completa del tomador y el carácter en que contrata, los nombres del asegurado y del beneficiario o la forma de identificarlos, si fueren distintos.</w:t>
            </w:r>
          </w:p>
          <w:p w14:paraId="14C0B4F2"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La vigencia del contrato, con indicación de la fecha en que se extienda, la hora y día de su iniciación y vencimiento, o el modo de determinarlos.</w:t>
            </w:r>
          </w:p>
          <w:p w14:paraId="3FEA7054"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La suma asegurada o el modo de precisarla, o el alcance de la cobertura.</w:t>
            </w:r>
          </w:p>
          <w:p w14:paraId="1FE41ADE"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La prima o el modo de calcularla, la forma y lugar de su pago.</w:t>
            </w:r>
          </w:p>
          <w:p w14:paraId="0CE7863A"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Señalamiento de los riesgos asumidos.</w:t>
            </w:r>
          </w:p>
          <w:p w14:paraId="29150ECD"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Nombre de los intermediarios de seguro en caso de que intervengan en el contrato.</w:t>
            </w:r>
          </w:p>
          <w:p w14:paraId="27E59D00"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Las condiciones generales y particulares que acuerden los contratantes.</w:t>
            </w:r>
          </w:p>
          <w:p w14:paraId="2EC4CA44" w14:textId="77777777" w:rsidR="00A204A8" w:rsidRPr="005F2C03" w:rsidRDefault="00A204A8">
            <w:pPr>
              <w:pStyle w:val="Prrafodelista"/>
              <w:widowControl w:val="0"/>
              <w:numPr>
                <w:ilvl w:val="0"/>
                <w:numId w:val="4"/>
              </w:numPr>
              <w:ind w:left="0" w:hanging="241"/>
              <w:jc w:val="both"/>
              <w:rPr>
                <w:rFonts w:eastAsia="Batang" w:cs="Arial"/>
                <w:lang w:val="es-ES_tradnl"/>
              </w:rPr>
            </w:pPr>
            <w:r w:rsidRPr="005F2C03">
              <w:rPr>
                <w:rFonts w:eastAsia="Batang" w:cs="Arial"/>
                <w:lang w:val="es-ES_tradnl"/>
              </w:rPr>
              <w:t>Las firmas de la empresa de seguros y del tomador.</w:t>
            </w:r>
          </w:p>
          <w:p w14:paraId="4E904E32" w14:textId="77777777" w:rsidR="00A204A8" w:rsidRPr="005F2C03" w:rsidRDefault="00A204A8">
            <w:pPr>
              <w:jc w:val="both"/>
              <w:rPr>
                <w:rFonts w:eastAsia="Batang" w:cs="Arial"/>
                <w:lang w:val="es-ES_tradnl"/>
              </w:rPr>
            </w:pPr>
          </w:p>
          <w:p w14:paraId="1114B68C" w14:textId="77777777" w:rsidR="00A204A8" w:rsidRPr="005F2C03" w:rsidRDefault="00A204A8">
            <w:pPr>
              <w:jc w:val="both"/>
              <w:rPr>
                <w:rFonts w:eastAsia="Batang" w:cs="Arial"/>
                <w:lang w:val="es-ES_tradnl"/>
              </w:rPr>
            </w:pPr>
            <w:r w:rsidRPr="005F2C03">
              <w:rPr>
                <w:rFonts w:eastAsia="Batang" w:cs="Arial"/>
                <w:lang w:val="es-ES_tradnl"/>
              </w:rPr>
              <w:t>Requisitos que deberán poseer para su validez los anexos de las pólizas que modifiquen sus condiciones serían estar firmados por la empresa de seguros y el tomador, e indicar claramente la póliza a la que pertenecen.</w:t>
            </w:r>
          </w:p>
          <w:p w14:paraId="62ABDF4A" w14:textId="77777777" w:rsidR="00A204A8" w:rsidRPr="005F2C03" w:rsidRDefault="00A204A8">
            <w:pPr>
              <w:jc w:val="both"/>
              <w:rPr>
                <w:rFonts w:eastAsia="Batang" w:cs="Arial"/>
                <w:lang w:val="es-ES_tradnl"/>
              </w:rPr>
            </w:pPr>
          </w:p>
          <w:p w14:paraId="76A21031" w14:textId="77777777" w:rsidR="00A204A8" w:rsidRPr="005F2C03" w:rsidRDefault="00A204A8">
            <w:pPr>
              <w:jc w:val="both"/>
              <w:rPr>
                <w:rFonts w:eastAsia="Batang" w:cs="Arial"/>
                <w:lang w:val="es-ES_tradnl"/>
              </w:rPr>
            </w:pPr>
            <w:r w:rsidRPr="005F2C03">
              <w:rPr>
                <w:rFonts w:eastAsia="Batang" w:cs="Arial"/>
                <w:lang w:val="es-ES_tradnl"/>
              </w:rPr>
              <w:t>En caso de discrepancia entre lo indicado en el anexo y en la póliza, prevalecerá lo señalado en el anexo debidamente firmado.</w:t>
            </w:r>
          </w:p>
          <w:p w14:paraId="425420BC" w14:textId="77777777" w:rsidR="00A204A8" w:rsidRPr="005F2C03" w:rsidRDefault="00A204A8">
            <w:pPr>
              <w:jc w:val="both"/>
              <w:rPr>
                <w:rFonts w:eastAsia="Batang" w:cs="Arial"/>
                <w:lang w:val="es-ES_tradnl"/>
              </w:rPr>
            </w:pPr>
          </w:p>
          <w:p w14:paraId="3078ACBB" w14:textId="77777777" w:rsidR="00A204A8" w:rsidRPr="005F2C03" w:rsidRDefault="00A204A8">
            <w:pPr>
              <w:jc w:val="both"/>
              <w:rPr>
                <w:rFonts w:eastAsia="Batang" w:cs="Arial"/>
                <w:lang w:val="es-ES_tradnl"/>
              </w:rPr>
            </w:pPr>
            <w:r w:rsidRPr="005F2C03">
              <w:rPr>
                <w:rFonts w:eastAsia="Batang" w:cs="Arial"/>
                <w:lang w:val="es-ES_tradnl"/>
              </w:rPr>
              <w:t>La póliza puede ser nominativa, a la orden o al portador.</w:t>
            </w:r>
          </w:p>
          <w:p w14:paraId="20875302" w14:textId="77777777" w:rsidR="00A204A8" w:rsidRPr="005F2C03" w:rsidRDefault="00A204A8">
            <w:pPr>
              <w:jc w:val="both"/>
              <w:rPr>
                <w:rFonts w:eastAsia="Batang" w:cs="Arial"/>
                <w:lang w:val="es-ES_tradnl"/>
              </w:rPr>
            </w:pPr>
          </w:p>
          <w:p w14:paraId="02883BBD" w14:textId="77777777" w:rsidR="00A204A8" w:rsidRPr="005F2C03" w:rsidRDefault="00A204A8">
            <w:pPr>
              <w:jc w:val="both"/>
              <w:rPr>
                <w:rFonts w:eastAsia="Batang" w:cs="Arial"/>
                <w:lang w:val="es-ES_tradnl"/>
              </w:rPr>
            </w:pPr>
            <w:r w:rsidRPr="005F2C03">
              <w:rPr>
                <w:rFonts w:eastAsia="Batang" w:cs="Arial"/>
                <w:lang w:val="es-ES_tradnl"/>
              </w:rPr>
              <w:t>La cesión de la póliza para que produzca efectos contra la empresa de seguros requiere de la autorización de la misma.</w:t>
            </w:r>
          </w:p>
          <w:p w14:paraId="3F686421" w14:textId="77777777" w:rsidR="00A204A8" w:rsidRPr="005F2C03" w:rsidRDefault="00A204A8">
            <w:pPr>
              <w:jc w:val="both"/>
              <w:rPr>
                <w:rFonts w:eastAsia="Batang" w:cs="Arial"/>
                <w:lang w:val="es-ES_tradnl"/>
              </w:rPr>
            </w:pPr>
          </w:p>
          <w:p w14:paraId="22D60EC0" w14:textId="77777777" w:rsidR="00A204A8" w:rsidRPr="005F2C03" w:rsidRDefault="00A204A8">
            <w:pPr>
              <w:jc w:val="both"/>
              <w:rPr>
                <w:rFonts w:eastAsia="Batang" w:cs="Arial"/>
                <w:lang w:val="es-ES_tradnl"/>
              </w:rPr>
            </w:pPr>
            <w:r w:rsidRPr="005F2C03">
              <w:rPr>
                <w:rFonts w:eastAsia="Batang" w:cs="Arial"/>
                <w:lang w:val="es-ES_tradnl"/>
              </w:rPr>
              <w:t>La cesión de la póliza a la orden puede hacerse por simple endoso.</w:t>
            </w:r>
          </w:p>
          <w:p w14:paraId="09008E2E" w14:textId="77777777" w:rsidR="00A204A8" w:rsidRPr="005F2C03" w:rsidRDefault="00A204A8">
            <w:pPr>
              <w:jc w:val="both"/>
              <w:rPr>
                <w:rFonts w:eastAsia="Batang" w:cs="Arial"/>
                <w:lang w:val="es-ES_tradnl"/>
              </w:rPr>
            </w:pPr>
          </w:p>
          <w:p w14:paraId="755B378D" w14:textId="77777777" w:rsidR="00A204A8" w:rsidRPr="005F2C03" w:rsidRDefault="00A204A8">
            <w:pPr>
              <w:jc w:val="both"/>
              <w:rPr>
                <w:rFonts w:eastAsia="Times New Roman" w:cs="Arial"/>
                <w:color w:val="000000" w:themeColor="text1"/>
                <w:lang w:val="es-ES_tradnl"/>
              </w:rPr>
            </w:pPr>
            <w:r w:rsidRPr="005F2C03">
              <w:rPr>
                <w:rFonts w:eastAsia="Batang" w:cs="Arial"/>
                <w:lang w:val="es-ES_tradnl"/>
              </w:rPr>
              <w:t>Podrá oponer la empresa de seguros al cesionario o endosatario las excepciones que tenga contra el tomador, el asegurado o el beneficiario.</w:t>
            </w:r>
          </w:p>
        </w:tc>
      </w:tr>
      <w:tr w:rsidR="00A204A8" w:rsidRPr="005F2C03" w14:paraId="4AE0ABC1" w14:textId="77777777" w:rsidTr="00A204A8">
        <w:trPr>
          <w:jc w:val="center"/>
        </w:trPr>
        <w:tc>
          <w:tcPr>
            <w:tcW w:w="8784" w:type="dxa"/>
            <w:gridSpan w:val="3"/>
            <w:tcBorders>
              <w:top w:val="single" w:sz="4" w:space="0" w:color="auto"/>
              <w:left w:val="single" w:sz="4" w:space="0" w:color="auto"/>
              <w:bottom w:val="single" w:sz="4" w:space="0" w:color="auto"/>
              <w:right w:val="single" w:sz="4" w:space="0" w:color="auto"/>
            </w:tcBorders>
            <w:hideMark/>
          </w:tcPr>
          <w:p w14:paraId="09B6F4F9" w14:textId="77777777" w:rsidR="00A204A8" w:rsidRPr="005F2C03" w:rsidRDefault="00A204A8">
            <w:pPr>
              <w:jc w:val="center"/>
              <w:rPr>
                <w:rFonts w:cs="Arial"/>
                <w:b/>
                <w:bCs/>
                <w:color w:val="000000" w:themeColor="text1"/>
                <w:lang w:val="es-ES_tradnl"/>
              </w:rPr>
            </w:pPr>
            <w:r w:rsidRPr="005F2C03">
              <w:rPr>
                <w:rFonts w:cs="Arial"/>
                <w:b/>
                <w:bCs/>
                <w:color w:val="000000" w:themeColor="text1"/>
                <w:lang w:val="es-ES_tradnl"/>
              </w:rPr>
              <w:lastRenderedPageBreak/>
              <w:t>PARTES DE SEGURO</w:t>
            </w:r>
          </w:p>
        </w:tc>
      </w:tr>
      <w:tr w:rsidR="00A204A8" w:rsidRPr="005F2C03" w14:paraId="15F4359D"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2829E6E7"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La empresa de seguros o asegurador</w:t>
            </w:r>
          </w:p>
        </w:tc>
        <w:tc>
          <w:tcPr>
            <w:tcW w:w="6728" w:type="dxa"/>
            <w:gridSpan w:val="2"/>
            <w:tcBorders>
              <w:top w:val="single" w:sz="4" w:space="0" w:color="auto"/>
              <w:left w:val="single" w:sz="4" w:space="0" w:color="auto"/>
              <w:bottom w:val="single" w:sz="4" w:space="0" w:color="auto"/>
              <w:right w:val="single" w:sz="4" w:space="0" w:color="auto"/>
            </w:tcBorders>
            <w:hideMark/>
          </w:tcPr>
          <w:p w14:paraId="6A8BF2F3"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La persona que asume los riesgos. Sólo las empresas de seguros autorizadas de acuerdo con la ley que rige la materia pueden actuar como asegurador</w:t>
            </w:r>
          </w:p>
        </w:tc>
      </w:tr>
      <w:tr w:rsidR="00A204A8" w:rsidRPr="005F2C03" w14:paraId="3C82E677"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54B979A3"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El tomador</w:t>
            </w:r>
          </w:p>
        </w:tc>
        <w:tc>
          <w:tcPr>
            <w:tcW w:w="6728" w:type="dxa"/>
            <w:gridSpan w:val="2"/>
            <w:tcBorders>
              <w:top w:val="single" w:sz="4" w:space="0" w:color="auto"/>
              <w:left w:val="single" w:sz="4" w:space="0" w:color="auto"/>
              <w:bottom w:val="single" w:sz="4" w:space="0" w:color="auto"/>
              <w:right w:val="single" w:sz="4" w:space="0" w:color="auto"/>
            </w:tcBorders>
            <w:hideMark/>
          </w:tcPr>
          <w:p w14:paraId="6A7C457E"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La persona que, obrando por cuenta propia o ajena, traslada los riesgos</w:t>
            </w:r>
          </w:p>
        </w:tc>
      </w:tr>
      <w:tr w:rsidR="00A204A8" w:rsidRPr="005F2C03" w14:paraId="27D4F89F"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04D02818"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El asegurado</w:t>
            </w:r>
          </w:p>
        </w:tc>
        <w:tc>
          <w:tcPr>
            <w:tcW w:w="6728" w:type="dxa"/>
            <w:gridSpan w:val="2"/>
            <w:tcBorders>
              <w:top w:val="single" w:sz="4" w:space="0" w:color="auto"/>
              <w:left w:val="single" w:sz="4" w:space="0" w:color="auto"/>
              <w:bottom w:val="single" w:sz="4" w:space="0" w:color="auto"/>
              <w:right w:val="single" w:sz="4" w:space="0" w:color="auto"/>
            </w:tcBorders>
            <w:hideMark/>
          </w:tcPr>
          <w:p w14:paraId="409ED16C"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Persona que en sí misma, en sus bienes o en sus intereses económicos está expuesta al riesgo</w:t>
            </w:r>
          </w:p>
        </w:tc>
      </w:tr>
      <w:tr w:rsidR="00A204A8" w:rsidRPr="005F2C03" w14:paraId="236088DE" w14:textId="77777777" w:rsidTr="00A204A8">
        <w:trPr>
          <w:jc w:val="center"/>
        </w:trPr>
        <w:tc>
          <w:tcPr>
            <w:tcW w:w="2056" w:type="dxa"/>
            <w:tcBorders>
              <w:top w:val="single" w:sz="4" w:space="0" w:color="auto"/>
              <w:left w:val="single" w:sz="4" w:space="0" w:color="auto"/>
              <w:bottom w:val="single" w:sz="4" w:space="0" w:color="auto"/>
              <w:right w:val="single" w:sz="4" w:space="0" w:color="auto"/>
            </w:tcBorders>
            <w:hideMark/>
          </w:tcPr>
          <w:p w14:paraId="3052C42E"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El beneficiario</w:t>
            </w:r>
          </w:p>
        </w:tc>
        <w:tc>
          <w:tcPr>
            <w:tcW w:w="6728" w:type="dxa"/>
            <w:gridSpan w:val="2"/>
            <w:tcBorders>
              <w:top w:val="single" w:sz="4" w:space="0" w:color="auto"/>
              <w:left w:val="single" w:sz="4" w:space="0" w:color="auto"/>
              <w:bottom w:val="single" w:sz="4" w:space="0" w:color="auto"/>
              <w:right w:val="single" w:sz="4" w:space="0" w:color="auto"/>
            </w:tcBorders>
            <w:hideMark/>
          </w:tcPr>
          <w:p w14:paraId="723CD912"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Aquél en cuyo favor se ha establecido la indemnización que pagará la empresa de seguros</w:t>
            </w:r>
          </w:p>
        </w:tc>
      </w:tr>
      <w:tr w:rsidR="00A204A8" w:rsidRPr="005F2C03" w14:paraId="53BE5B27" w14:textId="77777777" w:rsidTr="00A204A8">
        <w:trPr>
          <w:jc w:val="center"/>
        </w:trPr>
        <w:tc>
          <w:tcPr>
            <w:tcW w:w="8784" w:type="dxa"/>
            <w:gridSpan w:val="3"/>
            <w:tcBorders>
              <w:top w:val="single" w:sz="4" w:space="0" w:color="auto"/>
              <w:left w:val="single" w:sz="4" w:space="0" w:color="auto"/>
              <w:bottom w:val="single" w:sz="4" w:space="0" w:color="auto"/>
              <w:right w:val="single" w:sz="4" w:space="0" w:color="auto"/>
            </w:tcBorders>
            <w:hideMark/>
          </w:tcPr>
          <w:p w14:paraId="496F73E8"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lastRenderedPageBreak/>
              <w:t>El Tomador, Asegurado y Beneficiario pueden ser o no la misma persona; así lo establece el Artículo 8º de la Ley del Contrato de Seguro</w:t>
            </w:r>
          </w:p>
        </w:tc>
      </w:tr>
      <w:tr w:rsidR="00A204A8" w:rsidRPr="005F2C03" w14:paraId="6985D1C1" w14:textId="77777777" w:rsidTr="00A204A8">
        <w:trPr>
          <w:jc w:val="center"/>
        </w:trPr>
        <w:tc>
          <w:tcPr>
            <w:tcW w:w="8784" w:type="dxa"/>
            <w:gridSpan w:val="3"/>
            <w:tcBorders>
              <w:top w:val="single" w:sz="4" w:space="0" w:color="auto"/>
              <w:left w:val="single" w:sz="4" w:space="0" w:color="auto"/>
              <w:bottom w:val="single" w:sz="4" w:space="0" w:color="auto"/>
              <w:right w:val="single" w:sz="4" w:space="0" w:color="auto"/>
            </w:tcBorders>
            <w:hideMark/>
          </w:tcPr>
          <w:p w14:paraId="48BBD922" w14:textId="77777777" w:rsidR="00A204A8" w:rsidRPr="005F2C03" w:rsidRDefault="00A204A8">
            <w:pPr>
              <w:jc w:val="center"/>
              <w:rPr>
                <w:rFonts w:cs="Arial"/>
                <w:b/>
                <w:bCs/>
                <w:color w:val="000000" w:themeColor="text1"/>
                <w:lang w:val="es-ES_tradnl"/>
              </w:rPr>
            </w:pPr>
            <w:r w:rsidRPr="005F2C03">
              <w:rPr>
                <w:rFonts w:eastAsia="Batang" w:cs="Arial"/>
                <w:b/>
                <w:bCs/>
                <w:lang w:val="es-ES_tradnl"/>
              </w:rPr>
              <w:t>OBLIGACIONES DE LAS PARTES DEL SEGURO</w:t>
            </w:r>
          </w:p>
        </w:tc>
      </w:tr>
      <w:tr w:rsidR="00A204A8" w:rsidRPr="005F2C03" w14:paraId="7C75C998" w14:textId="77777777" w:rsidTr="00A204A8">
        <w:trPr>
          <w:jc w:val="center"/>
        </w:trPr>
        <w:tc>
          <w:tcPr>
            <w:tcW w:w="2067" w:type="dxa"/>
            <w:gridSpan w:val="2"/>
            <w:tcBorders>
              <w:top w:val="nil"/>
              <w:left w:val="single" w:sz="4" w:space="0" w:color="auto"/>
              <w:bottom w:val="nil"/>
              <w:right w:val="single" w:sz="4" w:space="0" w:color="auto"/>
            </w:tcBorders>
          </w:tcPr>
          <w:p w14:paraId="4DCCC23D" w14:textId="77777777" w:rsidR="00A204A8" w:rsidRPr="005F2C03" w:rsidRDefault="00A204A8">
            <w:pPr>
              <w:jc w:val="both"/>
              <w:rPr>
                <w:rFonts w:cs="Arial"/>
                <w:color w:val="000000" w:themeColor="text1"/>
                <w:lang w:val="es-ES_tradnl"/>
              </w:rPr>
            </w:pPr>
            <w:r w:rsidRPr="005F2C03">
              <w:rPr>
                <w:rFonts w:cs="Arial"/>
                <w:color w:val="000000" w:themeColor="text1"/>
                <w:lang w:val="es-ES_tradnl"/>
              </w:rPr>
              <w:t>El tomador, el asegurado o el beneficiario, según el caso, deberá:</w:t>
            </w:r>
          </w:p>
          <w:p w14:paraId="434471EE" w14:textId="77777777" w:rsidR="00A204A8" w:rsidRPr="005F2C03" w:rsidRDefault="00A204A8">
            <w:pPr>
              <w:jc w:val="both"/>
              <w:rPr>
                <w:rFonts w:eastAsia="Batang" w:cs="Arial"/>
                <w:lang w:val="es-ES_tradnl"/>
              </w:rPr>
            </w:pPr>
          </w:p>
        </w:tc>
        <w:tc>
          <w:tcPr>
            <w:tcW w:w="6717" w:type="dxa"/>
            <w:tcBorders>
              <w:top w:val="nil"/>
              <w:left w:val="single" w:sz="4" w:space="0" w:color="auto"/>
              <w:bottom w:val="single" w:sz="4" w:space="0" w:color="auto"/>
              <w:right w:val="single" w:sz="4" w:space="0" w:color="auto"/>
            </w:tcBorders>
            <w:hideMark/>
          </w:tcPr>
          <w:p w14:paraId="33D39426"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Llenar la solicitud del seguro y declarar con sinceridad todas las circunstancias necesarias para identificar el bien o personas aseguradas y apreciar la extensión de los riesgos, en los términos indicados en este Decreto Ley.</w:t>
            </w:r>
          </w:p>
          <w:p w14:paraId="56E743BB"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Pagar la prima en la forma y tiempo convenidos.</w:t>
            </w:r>
          </w:p>
          <w:p w14:paraId="011E332E"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Emplear el cuidado de un diligente padre de familia para prevenir el siniestro.</w:t>
            </w:r>
          </w:p>
          <w:p w14:paraId="7E9E21CE"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Tomar las medidas necesarias para salvar o recobrar las cosas aseguradas o para conservar sus restos.</w:t>
            </w:r>
          </w:p>
          <w:p w14:paraId="1383E196"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Hacer saber a la empresa de seguros en el plazo establecido en este Decreto Ley después de la recepción de la noticia, el advenimiento de cualquier incidente que afecte su responsabilidad, expresando claramente las causas y circunstancias del incidente ocurrido.</w:t>
            </w:r>
          </w:p>
          <w:p w14:paraId="4571FF59"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Declarar al tiempo de exigir el pago del siniestro los contratos de seguros que cubren el mismo riesgo.</w:t>
            </w:r>
          </w:p>
          <w:p w14:paraId="415DDA97"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Probar la ocurrencia del siniestro.</w:t>
            </w:r>
          </w:p>
          <w:p w14:paraId="4897A3DA" w14:textId="77777777" w:rsidR="00A204A8" w:rsidRPr="005F2C03" w:rsidRDefault="00A204A8">
            <w:pPr>
              <w:pStyle w:val="Prrafodelista"/>
              <w:widowControl w:val="0"/>
              <w:numPr>
                <w:ilvl w:val="0"/>
                <w:numId w:val="5"/>
              </w:numPr>
              <w:ind w:left="0"/>
              <w:jc w:val="both"/>
              <w:rPr>
                <w:rFonts w:eastAsia="Batang" w:cs="Arial"/>
                <w:lang w:val="es-ES_tradnl"/>
              </w:rPr>
            </w:pPr>
            <w:r w:rsidRPr="005F2C03">
              <w:rPr>
                <w:rFonts w:eastAsia="Batang" w:cs="Arial"/>
                <w:lang w:val="es-ES_tradnl"/>
              </w:rPr>
              <w:t>Realizar todas las acciones necesarias para garantizar a la empresa de seguros el ejercicio de su derecho de subrogación.</w:t>
            </w:r>
          </w:p>
        </w:tc>
      </w:tr>
      <w:tr w:rsidR="00A204A8" w:rsidRPr="005F2C03" w14:paraId="65164852" w14:textId="77777777" w:rsidTr="00A204A8">
        <w:trPr>
          <w:jc w:val="center"/>
        </w:trPr>
        <w:tc>
          <w:tcPr>
            <w:tcW w:w="2067" w:type="dxa"/>
            <w:gridSpan w:val="2"/>
            <w:tcBorders>
              <w:top w:val="nil"/>
              <w:left w:val="single" w:sz="4" w:space="0" w:color="auto"/>
              <w:bottom w:val="single" w:sz="4" w:space="0" w:color="auto"/>
              <w:right w:val="single" w:sz="4" w:space="0" w:color="auto"/>
            </w:tcBorders>
            <w:hideMark/>
          </w:tcPr>
          <w:p w14:paraId="4DC3BF88" w14:textId="77777777" w:rsidR="00A204A8" w:rsidRPr="005F2C03" w:rsidRDefault="00A204A8">
            <w:pPr>
              <w:jc w:val="both"/>
              <w:rPr>
                <w:rFonts w:eastAsia="Batang" w:cs="Arial"/>
                <w:lang w:val="es-ES_tradnl"/>
              </w:rPr>
            </w:pPr>
            <w:r w:rsidRPr="005F2C03">
              <w:rPr>
                <w:rFonts w:cs="Arial"/>
                <w:color w:val="000000" w:themeColor="text1"/>
                <w:lang w:val="es-ES_tradnl"/>
              </w:rPr>
              <w:t>Obligaciones De Las Empresas De</w:t>
            </w:r>
            <w:r w:rsidRPr="005F2C03">
              <w:rPr>
                <w:rFonts w:eastAsia="Batang" w:cs="Arial"/>
                <w:lang w:val="es-ES_tradnl"/>
              </w:rPr>
              <w:t xml:space="preserve"> Seguros</w:t>
            </w:r>
          </w:p>
        </w:tc>
        <w:tc>
          <w:tcPr>
            <w:tcW w:w="6717" w:type="dxa"/>
            <w:tcBorders>
              <w:top w:val="single" w:sz="4" w:space="0" w:color="auto"/>
              <w:left w:val="single" w:sz="4" w:space="0" w:color="auto"/>
              <w:bottom w:val="single" w:sz="4" w:space="0" w:color="auto"/>
              <w:right w:val="single" w:sz="4" w:space="0" w:color="auto"/>
            </w:tcBorders>
          </w:tcPr>
          <w:p w14:paraId="6997B339" w14:textId="77777777" w:rsidR="00A204A8" w:rsidRPr="005F2C03" w:rsidRDefault="00A204A8">
            <w:pPr>
              <w:jc w:val="both"/>
              <w:rPr>
                <w:rFonts w:eastAsia="Batang" w:cs="Arial"/>
                <w:lang w:val="es-ES_tradnl"/>
              </w:rPr>
            </w:pPr>
            <w:r w:rsidRPr="005F2C03">
              <w:rPr>
                <w:rFonts w:eastAsia="Batang" w:cs="Arial"/>
                <w:lang w:val="es-ES_tradnl"/>
              </w:rPr>
              <w:t>Son obligaciones de las empresas de seguros:</w:t>
            </w:r>
          </w:p>
          <w:p w14:paraId="7BC38458" w14:textId="77777777" w:rsidR="00A204A8" w:rsidRPr="005F2C03" w:rsidRDefault="00A204A8">
            <w:pPr>
              <w:jc w:val="both"/>
              <w:rPr>
                <w:rFonts w:eastAsia="Batang" w:cs="Arial"/>
                <w:lang w:val="es-ES_tradnl"/>
              </w:rPr>
            </w:pPr>
          </w:p>
          <w:p w14:paraId="16B920BA" w14:textId="77777777" w:rsidR="00A204A8" w:rsidRPr="005F2C03" w:rsidRDefault="00A204A8">
            <w:pPr>
              <w:pStyle w:val="Prrafodelista"/>
              <w:widowControl w:val="0"/>
              <w:numPr>
                <w:ilvl w:val="0"/>
                <w:numId w:val="6"/>
              </w:numPr>
              <w:ind w:left="0"/>
              <w:jc w:val="both"/>
              <w:rPr>
                <w:rFonts w:eastAsia="Batang" w:cs="Arial"/>
                <w:lang w:val="es-ES_tradnl"/>
              </w:rPr>
            </w:pPr>
            <w:r w:rsidRPr="005F2C03">
              <w:rPr>
                <w:rFonts w:eastAsia="Batang" w:cs="Arial"/>
                <w:lang w:val="es-ES_tradnl"/>
              </w:rPr>
              <w:t>Informar al tomador, mediante la entrega de la póliza y demás documentos, la extensión de los riesgos asumidos y aclarar, en cualquier tiempo, cualquier duda que éste le formule.</w:t>
            </w:r>
          </w:p>
          <w:p w14:paraId="572943AE" w14:textId="77777777" w:rsidR="00A204A8" w:rsidRPr="005F2C03" w:rsidRDefault="00A204A8">
            <w:pPr>
              <w:pStyle w:val="Prrafodelista"/>
              <w:widowControl w:val="0"/>
              <w:numPr>
                <w:ilvl w:val="0"/>
                <w:numId w:val="6"/>
              </w:numPr>
              <w:ind w:left="0"/>
              <w:jc w:val="both"/>
              <w:rPr>
                <w:rFonts w:eastAsia="Batang" w:cs="Arial"/>
                <w:lang w:val="es-ES_tradnl"/>
              </w:rPr>
            </w:pPr>
            <w:r w:rsidRPr="005F2C03">
              <w:rPr>
                <w:rFonts w:eastAsia="Batang" w:cs="Arial"/>
                <w:lang w:val="es-ES_tradnl"/>
              </w:rPr>
              <w:t>Pagar la suma asegurada o la indemnización que corresponda en caso de siniestro en los plazos establecidos en la Ley del Contrato de seguro o rechazar, mediante escrito debidamente motivado, la cobertura del siniestro.</w:t>
            </w:r>
          </w:p>
        </w:tc>
      </w:tr>
    </w:tbl>
    <w:p w14:paraId="22E15106" w14:textId="77777777" w:rsidR="00A204A8" w:rsidRPr="005F2C03" w:rsidRDefault="00A204A8" w:rsidP="00A204A8">
      <w:pPr>
        <w:jc w:val="both"/>
        <w:rPr>
          <w:rFonts w:eastAsia="Batang" w:cs="Arial"/>
          <w:lang w:val="es-ES_tradnl" w:eastAsia="es-ES_tradnl"/>
        </w:rPr>
      </w:pPr>
    </w:p>
    <w:p w14:paraId="1822BA00" w14:textId="77777777" w:rsidR="00A204A8" w:rsidRPr="005F2C03" w:rsidRDefault="00A204A8" w:rsidP="00C4639A">
      <w:pPr>
        <w:widowControl w:val="0"/>
        <w:jc w:val="both"/>
        <w:rPr>
          <w:b/>
          <w:bCs/>
          <w:lang w:val="es-ES_tradnl" w:eastAsia="es-CO"/>
        </w:rPr>
      </w:pPr>
      <w:r w:rsidRPr="005F2C03">
        <w:rPr>
          <w:b/>
          <w:bCs/>
          <w:lang w:val="es-ES_tradnl" w:eastAsia="es-CO"/>
        </w:rPr>
        <w:t>La normativa local</w:t>
      </w:r>
    </w:p>
    <w:p w14:paraId="0746530B" w14:textId="77777777" w:rsidR="00A204A8" w:rsidRPr="005F2C03" w:rsidRDefault="00A204A8" w:rsidP="00A204A8">
      <w:pPr>
        <w:jc w:val="both"/>
        <w:rPr>
          <w:lang w:val="es-ES_tradnl" w:eastAsia="es-CO"/>
        </w:rPr>
      </w:pPr>
    </w:p>
    <w:p w14:paraId="2FEC7396" w14:textId="784A9CB9" w:rsidR="00A204A8" w:rsidRPr="005F2C03" w:rsidRDefault="00A204A8" w:rsidP="00A204A8">
      <w:pPr>
        <w:jc w:val="both"/>
        <w:rPr>
          <w:lang w:val="es-ES_tradnl" w:eastAsia="es-CO"/>
        </w:rPr>
      </w:pPr>
      <w:r w:rsidRPr="005F2C03">
        <w:rPr>
          <w:lang w:val="es-ES_tradnl" w:eastAsia="es-CO"/>
        </w:rPr>
        <w:t>En Colombia, al igual que en la mayoría de las jurisdicciones del globo, las entidades aseguradoras están sometidas a la regulación y a la supervisión prudenciales, donde se les exige el cumplimiento de reglas de solvencia que apuntan, entre otros, a que el asegurador no soporte con su propio patrimonio (retención) riesgos cuyo valor exceda un porcentaje determinado de su capital de trabajo.</w:t>
      </w:r>
    </w:p>
    <w:p w14:paraId="1D1B09E0" w14:textId="77777777" w:rsidR="00A204A8" w:rsidRPr="005F2C03" w:rsidRDefault="00A204A8" w:rsidP="00A204A8">
      <w:pPr>
        <w:jc w:val="both"/>
        <w:rPr>
          <w:lang w:val="es-ES_tradnl" w:eastAsia="es-CO"/>
        </w:rPr>
      </w:pPr>
    </w:p>
    <w:p w14:paraId="31569BAF" w14:textId="77777777" w:rsidR="00A204A8" w:rsidRPr="005F2C03" w:rsidRDefault="00A204A8" w:rsidP="00A204A8">
      <w:pPr>
        <w:jc w:val="both"/>
        <w:rPr>
          <w:lang w:val="es-ES_tradnl" w:eastAsia="es-CO"/>
        </w:rPr>
      </w:pPr>
      <w:r w:rsidRPr="005F2C03">
        <w:rPr>
          <w:lang w:val="es-ES_tradnl" w:eastAsia="es-CO"/>
        </w:rPr>
        <w:t>En nuestro país, este límite de retención por riesgo es del 10</w:t>
      </w:r>
      <w:r w:rsidRPr="005F2C03">
        <w:rPr>
          <w:rFonts w:ascii="Arial" w:hAnsi="Arial" w:cs="Arial"/>
          <w:lang w:val="es-ES_tradnl" w:eastAsia="es-CO"/>
        </w:rPr>
        <w:t> </w:t>
      </w:r>
      <w:r w:rsidRPr="005F2C03">
        <w:rPr>
          <w:lang w:val="es-ES_tradnl" w:eastAsia="es-CO"/>
        </w:rPr>
        <w:t>% del patrimonio t</w:t>
      </w:r>
      <w:r w:rsidRPr="005F2C03">
        <w:rPr>
          <w:rFonts w:cs="Arial Narrow"/>
          <w:lang w:val="es-ES_tradnl" w:eastAsia="es-CO"/>
        </w:rPr>
        <w:t>é</w:t>
      </w:r>
      <w:r w:rsidRPr="005F2C03">
        <w:rPr>
          <w:lang w:val="es-ES_tradnl" w:eastAsia="es-CO"/>
        </w:rPr>
        <w:t>cnico del asegurador, lo cual hace necesario que, para todos los riesgos cuyo valor expuesto esté por encima del 10</w:t>
      </w:r>
      <w:r w:rsidRPr="005F2C03">
        <w:rPr>
          <w:rFonts w:ascii="Arial" w:hAnsi="Arial" w:cs="Arial"/>
          <w:lang w:val="es-ES_tradnl" w:eastAsia="es-CO"/>
        </w:rPr>
        <w:t> </w:t>
      </w:r>
      <w:r w:rsidRPr="005F2C03">
        <w:rPr>
          <w:lang w:val="es-ES_tradnl" w:eastAsia="es-CO"/>
        </w:rPr>
        <w:t>% del patrimonio t</w:t>
      </w:r>
      <w:r w:rsidRPr="005F2C03">
        <w:rPr>
          <w:rFonts w:cs="Arial Narrow"/>
          <w:lang w:val="es-ES_tradnl" w:eastAsia="es-CO"/>
        </w:rPr>
        <w:t>é</w:t>
      </w:r>
      <w:r w:rsidRPr="005F2C03">
        <w:rPr>
          <w:lang w:val="es-ES_tradnl" w:eastAsia="es-CO"/>
        </w:rPr>
        <w:t>cnico de la entidad aseguradora, se deba contar con el apoyo de alg</w:t>
      </w:r>
      <w:r w:rsidRPr="005F2C03">
        <w:rPr>
          <w:rFonts w:cs="Arial Narrow"/>
          <w:lang w:val="es-ES_tradnl" w:eastAsia="es-CO"/>
        </w:rPr>
        <w:t>ú</w:t>
      </w:r>
      <w:r w:rsidRPr="005F2C03">
        <w:rPr>
          <w:lang w:val="es-ES_tradnl" w:eastAsia="es-CO"/>
        </w:rPr>
        <w:t>n mecanismo de dispersi</w:t>
      </w:r>
      <w:r w:rsidRPr="005F2C03">
        <w:rPr>
          <w:rFonts w:cs="Arial Narrow"/>
          <w:lang w:val="es-ES_tradnl" w:eastAsia="es-CO"/>
        </w:rPr>
        <w:t>ó</w:t>
      </w:r>
      <w:r w:rsidRPr="005F2C03">
        <w:rPr>
          <w:lang w:val="es-ES_tradnl" w:eastAsia="es-CO"/>
        </w:rPr>
        <w:t>n de riesgos que disminuya la retenci</w:t>
      </w:r>
      <w:r w:rsidRPr="005F2C03">
        <w:rPr>
          <w:rFonts w:cs="Arial Narrow"/>
          <w:lang w:val="es-ES_tradnl" w:eastAsia="es-CO"/>
        </w:rPr>
        <w:t>ó</w:t>
      </w:r>
      <w:r w:rsidRPr="005F2C03">
        <w:rPr>
          <w:lang w:val="es-ES_tradnl" w:eastAsia="es-CO"/>
        </w:rPr>
        <w:t>n del asegurador. De all</w:t>
      </w:r>
      <w:r w:rsidRPr="005F2C03">
        <w:rPr>
          <w:rFonts w:cs="Arial Narrow"/>
          <w:lang w:val="es-ES_tradnl" w:eastAsia="es-CO"/>
        </w:rPr>
        <w:t>í</w:t>
      </w:r>
      <w:r w:rsidRPr="005F2C03">
        <w:rPr>
          <w:lang w:val="es-ES_tradnl" w:eastAsia="es-CO"/>
        </w:rPr>
        <w:t xml:space="preserve"> que el reaseguro sea el mecanismo más utilizado para dispersar los riesgos y, así, el día del siniestro, sean muchos los que contribuyan a su pago, sin que alguno de ellos afecte sus condiciones patrimoniales o, incluso, su solvencia. Por ello, cuando ocurre un gran siniestro en el planeta, se puede afectar la gran mayoría de entidades aseguradoras y reaseguradoras, dado que el riesgo se ha dispersado de manera exponencial, lo que involucra, así sea poco, a muchos.</w:t>
      </w:r>
    </w:p>
    <w:p w14:paraId="629F6316" w14:textId="77777777" w:rsidR="00A204A8" w:rsidRPr="005F2C03" w:rsidRDefault="00A204A8" w:rsidP="00A204A8">
      <w:pPr>
        <w:jc w:val="both"/>
        <w:rPr>
          <w:lang w:val="es-ES_tradnl" w:eastAsia="es-CO"/>
        </w:rPr>
      </w:pPr>
    </w:p>
    <w:p w14:paraId="17A92D05" w14:textId="77777777" w:rsidR="00A204A8" w:rsidRPr="005F2C03" w:rsidRDefault="00A204A8" w:rsidP="00A204A8">
      <w:pPr>
        <w:jc w:val="both"/>
        <w:rPr>
          <w:lang w:val="es-ES_tradnl" w:eastAsia="es-CO"/>
        </w:rPr>
      </w:pPr>
      <w:r w:rsidRPr="005F2C03">
        <w:rPr>
          <w:lang w:val="es-ES_tradnl" w:eastAsia="es-CO"/>
        </w:rPr>
        <w:t>Nuestro legislador mercantil aborda en pocos artículos la regulación de dicho contrato, pues al ser un contrato de libre discusión y negociación entre sus partes, por oposición a un contrato por adhesión a condiciones generales, no requiere intervención para proteger a alguna parte débil en el mismo. Los artículos 1134 al 1136 del Código de Comercio regulan el contrato de reaseguro, en donde se definen las siguientes ideas básicas:</w:t>
      </w:r>
    </w:p>
    <w:p w14:paraId="5030CD1E" w14:textId="77777777" w:rsidR="00A204A8" w:rsidRPr="005F2C03" w:rsidRDefault="00A204A8" w:rsidP="00A204A8">
      <w:pPr>
        <w:jc w:val="both"/>
        <w:rPr>
          <w:lang w:val="es-ES_tradnl" w:eastAsia="es-CO"/>
        </w:rPr>
      </w:pPr>
    </w:p>
    <w:p w14:paraId="7B39C97E" w14:textId="77777777" w:rsidR="00A204A8" w:rsidRPr="005F2C03" w:rsidRDefault="00A204A8" w:rsidP="00A204A8">
      <w:pPr>
        <w:jc w:val="both"/>
        <w:rPr>
          <w:lang w:val="es-ES_tradnl" w:eastAsia="es-CO"/>
        </w:rPr>
      </w:pPr>
      <w:r w:rsidRPr="005F2C03">
        <w:rPr>
          <w:lang w:val="es-ES_tradnl" w:eastAsia="es-CO"/>
        </w:rPr>
        <w:t>(i) El objeto del contrato de reaseguro consiste en que el reasegurador contrae con el asegurador las mismas obligaciones que este ha contraído con el tomador o asegurado.</w:t>
      </w:r>
    </w:p>
    <w:p w14:paraId="72F3DF8E" w14:textId="77777777" w:rsidR="00A204A8" w:rsidRPr="005F2C03" w:rsidRDefault="00A204A8" w:rsidP="00A204A8">
      <w:pPr>
        <w:jc w:val="both"/>
        <w:rPr>
          <w:lang w:val="es-ES_tradnl" w:eastAsia="es-CO"/>
        </w:rPr>
      </w:pPr>
    </w:p>
    <w:p w14:paraId="10D4434C" w14:textId="77777777" w:rsidR="00A204A8" w:rsidRPr="005F2C03" w:rsidRDefault="00A204A8" w:rsidP="00A204A8">
      <w:pPr>
        <w:jc w:val="both"/>
        <w:rPr>
          <w:lang w:val="es-ES_tradnl" w:eastAsia="es-CO"/>
        </w:rPr>
      </w:pPr>
      <w:r w:rsidRPr="005F2C03">
        <w:rPr>
          <w:lang w:val="es-ES_tradnl" w:eastAsia="es-CO"/>
        </w:rPr>
        <w:t>(</w:t>
      </w:r>
      <w:proofErr w:type="spellStart"/>
      <w:r w:rsidRPr="005F2C03">
        <w:rPr>
          <w:lang w:val="es-ES_tradnl" w:eastAsia="es-CO"/>
        </w:rPr>
        <w:t>ii</w:t>
      </w:r>
      <w:proofErr w:type="spellEnd"/>
      <w:r w:rsidRPr="005F2C03">
        <w:rPr>
          <w:lang w:val="es-ES_tradnl" w:eastAsia="es-CO"/>
        </w:rPr>
        <w:t>) Existe comunidad de suerte en el resultado del contrato de seguro entre asegurador y reasegurador, salvo que se compruebe la mala fe del asegurador.</w:t>
      </w:r>
    </w:p>
    <w:p w14:paraId="3A268610" w14:textId="77777777" w:rsidR="00A204A8" w:rsidRPr="005F2C03" w:rsidRDefault="00A204A8" w:rsidP="00A204A8">
      <w:pPr>
        <w:jc w:val="both"/>
        <w:rPr>
          <w:lang w:val="es-ES_tradnl" w:eastAsia="es-CO"/>
        </w:rPr>
      </w:pPr>
    </w:p>
    <w:p w14:paraId="72F1EA47" w14:textId="77777777" w:rsidR="00A204A8" w:rsidRPr="005F2C03" w:rsidRDefault="00A204A8" w:rsidP="00A204A8">
      <w:pPr>
        <w:jc w:val="both"/>
        <w:rPr>
          <w:lang w:val="es-ES_tradnl" w:eastAsia="es-CO"/>
        </w:rPr>
      </w:pPr>
      <w:r w:rsidRPr="005F2C03">
        <w:rPr>
          <w:lang w:val="es-ES_tradnl" w:eastAsia="es-CO"/>
        </w:rPr>
        <w:t>(</w:t>
      </w:r>
      <w:proofErr w:type="spellStart"/>
      <w:r w:rsidRPr="005F2C03">
        <w:rPr>
          <w:lang w:val="es-ES_tradnl" w:eastAsia="es-CO"/>
        </w:rPr>
        <w:t>iii</w:t>
      </w:r>
      <w:proofErr w:type="spellEnd"/>
      <w:r w:rsidRPr="005F2C03">
        <w:rPr>
          <w:lang w:val="es-ES_tradnl" w:eastAsia="es-CO"/>
        </w:rPr>
        <w:t>) La responsabilidad del reasegurador acompaña al asegurador hasta que vence el seguro directo o hasta que las acciones derivadas de este prescriban.</w:t>
      </w:r>
    </w:p>
    <w:p w14:paraId="45B59729" w14:textId="77777777" w:rsidR="00A204A8" w:rsidRPr="005F2C03" w:rsidRDefault="00A204A8" w:rsidP="00A204A8">
      <w:pPr>
        <w:jc w:val="both"/>
        <w:rPr>
          <w:lang w:val="es-ES_tradnl" w:eastAsia="es-CO"/>
        </w:rPr>
      </w:pPr>
    </w:p>
    <w:p w14:paraId="6274D2FD" w14:textId="77777777" w:rsidR="00A204A8" w:rsidRPr="005F2C03" w:rsidRDefault="00A204A8" w:rsidP="00A204A8">
      <w:pPr>
        <w:jc w:val="both"/>
        <w:rPr>
          <w:lang w:val="es-ES_tradnl" w:eastAsia="es-CO"/>
        </w:rPr>
      </w:pPr>
      <w:r w:rsidRPr="005F2C03">
        <w:rPr>
          <w:lang w:val="es-ES_tradnl" w:eastAsia="es-CO"/>
        </w:rPr>
        <w:t>(</w:t>
      </w:r>
      <w:proofErr w:type="spellStart"/>
      <w:r w:rsidRPr="005F2C03">
        <w:rPr>
          <w:lang w:val="es-ES_tradnl" w:eastAsia="es-CO"/>
        </w:rPr>
        <w:t>iv</w:t>
      </w:r>
      <w:proofErr w:type="spellEnd"/>
      <w:r w:rsidRPr="005F2C03">
        <w:rPr>
          <w:lang w:val="es-ES_tradnl" w:eastAsia="es-CO"/>
        </w:rPr>
        <w:t>) El reaseguro no les da derechos a terceros.</w:t>
      </w:r>
    </w:p>
    <w:p w14:paraId="36CF1E9C" w14:textId="77777777" w:rsidR="00A204A8" w:rsidRPr="005F2C03" w:rsidRDefault="00A204A8" w:rsidP="00A204A8">
      <w:pPr>
        <w:jc w:val="both"/>
        <w:rPr>
          <w:lang w:val="es-ES_tradnl" w:eastAsia="es-CO"/>
        </w:rPr>
      </w:pPr>
    </w:p>
    <w:p w14:paraId="42D61353" w14:textId="77777777" w:rsidR="00A204A8" w:rsidRPr="005F2C03" w:rsidRDefault="00A204A8" w:rsidP="00A204A8">
      <w:pPr>
        <w:jc w:val="both"/>
        <w:rPr>
          <w:lang w:val="es-ES_tradnl" w:eastAsia="es-CO"/>
        </w:rPr>
      </w:pPr>
      <w:r w:rsidRPr="005F2C03">
        <w:rPr>
          <w:lang w:val="es-ES_tradnl" w:eastAsia="es-CO"/>
        </w:rPr>
        <w:t>(v) En ausencia de pacto entre las partes, se aplican las normas sobre el contrato de seguros del Código de Comercio.</w:t>
      </w:r>
    </w:p>
    <w:p w14:paraId="29B02A06" w14:textId="77777777" w:rsidR="00A204A8" w:rsidRPr="005F2C03" w:rsidRDefault="00A204A8" w:rsidP="00A204A8">
      <w:pPr>
        <w:jc w:val="both"/>
        <w:rPr>
          <w:lang w:val="es-ES_tradnl" w:eastAsia="es-CO"/>
        </w:rPr>
      </w:pPr>
    </w:p>
    <w:p w14:paraId="6648FDF8" w14:textId="77777777" w:rsidR="00A204A8" w:rsidRPr="005F2C03" w:rsidRDefault="00A204A8" w:rsidP="00A204A8">
      <w:pPr>
        <w:jc w:val="both"/>
        <w:rPr>
          <w:lang w:val="es-ES_tradnl" w:eastAsia="es-CO"/>
        </w:rPr>
      </w:pPr>
      <w:r w:rsidRPr="005F2C03">
        <w:rPr>
          <w:lang w:val="es-ES_tradnl" w:eastAsia="es-CO"/>
        </w:rPr>
        <w:t>Como se desprende de estos cinco lineamientos normativos, el contrato de reaseguro se rige por la autonomía de la voluntad, dentro de la cual se espera la máxima buena fe de las partes: del asegurador, pues si falla, el contrato de reaseguro no surtirá efecto alguno, y del reasegurador, quien deberá honrar la comunidad de suerte sobre el contrato de seguro del riesgo transferido.</w:t>
      </w:r>
    </w:p>
    <w:p w14:paraId="19441279" w14:textId="77777777" w:rsidR="00A204A8" w:rsidRPr="005F2C03" w:rsidRDefault="00A204A8" w:rsidP="00A204A8">
      <w:pPr>
        <w:jc w:val="both"/>
        <w:rPr>
          <w:lang w:val="es-ES_tradnl" w:eastAsia="es-CO"/>
        </w:rPr>
      </w:pPr>
    </w:p>
    <w:p w14:paraId="63857DB4" w14:textId="77777777" w:rsidR="00A204A8" w:rsidRPr="005F2C03" w:rsidRDefault="00A204A8" w:rsidP="00C4639A">
      <w:pPr>
        <w:widowControl w:val="0"/>
        <w:jc w:val="both"/>
        <w:rPr>
          <w:b/>
          <w:bCs/>
          <w:lang w:val="es-ES_tradnl" w:eastAsia="es-CO"/>
        </w:rPr>
      </w:pPr>
      <w:r w:rsidRPr="005F2C03">
        <w:rPr>
          <w:b/>
          <w:bCs/>
          <w:lang w:val="es-ES_tradnl" w:eastAsia="es-CO"/>
        </w:rPr>
        <w:t>Buena fe</w:t>
      </w:r>
    </w:p>
    <w:p w14:paraId="133442C0" w14:textId="77777777" w:rsidR="00A204A8" w:rsidRPr="005F2C03" w:rsidRDefault="00A204A8" w:rsidP="00A204A8">
      <w:pPr>
        <w:jc w:val="both"/>
        <w:rPr>
          <w:lang w:val="es-ES_tradnl" w:eastAsia="es-CO"/>
        </w:rPr>
      </w:pPr>
    </w:p>
    <w:p w14:paraId="56F189DA" w14:textId="77777777" w:rsidR="00A204A8" w:rsidRPr="005F2C03" w:rsidRDefault="00A204A8" w:rsidP="00A204A8">
      <w:pPr>
        <w:jc w:val="both"/>
        <w:rPr>
          <w:lang w:val="es-ES_tradnl" w:eastAsia="es-CO"/>
        </w:rPr>
      </w:pPr>
      <w:r w:rsidRPr="005F2C03">
        <w:rPr>
          <w:lang w:val="es-ES_tradnl" w:eastAsia="es-CO"/>
        </w:rPr>
        <w:t>Recientemente, la Sala Civil de la Corte Suprema de Justicia, en Sentencia SC 3273 del 2020, abordó el principio de buena fe en la relación entre el asegurador y el reasegurador, indicando que ella “se erige como el cimiento más significativo y notable de la relación negocial al punto que se le conoce como “ubérrima buena fe (</w:t>
      </w:r>
      <w:proofErr w:type="spellStart"/>
      <w:r w:rsidRPr="005F2C03">
        <w:rPr>
          <w:lang w:val="es-ES_tradnl" w:eastAsia="es-CO"/>
        </w:rPr>
        <w:t>uberrimae</w:t>
      </w:r>
      <w:proofErr w:type="spellEnd"/>
      <w:r w:rsidRPr="005F2C03">
        <w:rPr>
          <w:lang w:val="es-ES_tradnl" w:eastAsia="es-CO"/>
        </w:rPr>
        <w:t xml:space="preserve"> fides)” o “máxima buena fe (</w:t>
      </w:r>
      <w:proofErr w:type="spellStart"/>
      <w:r w:rsidRPr="005F2C03">
        <w:rPr>
          <w:lang w:val="es-ES_tradnl" w:eastAsia="es-CO"/>
        </w:rPr>
        <w:t>utmost</w:t>
      </w:r>
      <w:proofErr w:type="spellEnd"/>
      <w:r w:rsidRPr="005F2C03">
        <w:rPr>
          <w:lang w:val="es-ES_tradnl" w:eastAsia="es-CO"/>
        </w:rPr>
        <w:t xml:space="preserve"> </w:t>
      </w:r>
      <w:proofErr w:type="spellStart"/>
      <w:r w:rsidRPr="005F2C03">
        <w:rPr>
          <w:lang w:val="es-ES_tradnl" w:eastAsia="es-CO"/>
        </w:rPr>
        <w:t>good</w:t>
      </w:r>
      <w:proofErr w:type="spellEnd"/>
      <w:r w:rsidRPr="005F2C03">
        <w:rPr>
          <w:lang w:val="es-ES_tradnl" w:eastAsia="es-CO"/>
        </w:rPr>
        <w:t xml:space="preserve"> </w:t>
      </w:r>
      <w:proofErr w:type="spellStart"/>
      <w:r w:rsidRPr="005F2C03">
        <w:rPr>
          <w:lang w:val="es-ES_tradnl" w:eastAsia="es-CO"/>
        </w:rPr>
        <w:t>faith</w:t>
      </w:r>
      <w:proofErr w:type="spellEnd"/>
      <w:r w:rsidRPr="005F2C03">
        <w:rPr>
          <w:lang w:val="es-ES_tradnl" w:eastAsia="es-CO"/>
        </w:rPr>
        <w:t>)”. En esta sentencia, la alta corporación analizó en detalle los compromisos que el asegurador debe honrar para proteger los intereses del reasegurador en la gestión del contrato del seguro, el pago de la indemnización e, incluso, la subrogación. Y concluyó que el asegurador puede responder en caso de que el resultado de la subrogación no sea totalmente positivo para los intereses del reasegurador.</w:t>
      </w:r>
    </w:p>
    <w:p w14:paraId="0B4262B0" w14:textId="77777777" w:rsidR="00A204A8" w:rsidRPr="005F2C03" w:rsidRDefault="00A204A8" w:rsidP="00A204A8">
      <w:pPr>
        <w:jc w:val="both"/>
        <w:rPr>
          <w:lang w:val="es-ES_tradnl" w:eastAsia="es-CO"/>
        </w:rPr>
      </w:pPr>
    </w:p>
    <w:p w14:paraId="0CD0C266" w14:textId="77777777" w:rsidR="00A204A8" w:rsidRPr="005F2C03" w:rsidRDefault="00A204A8" w:rsidP="00A204A8">
      <w:pPr>
        <w:jc w:val="both"/>
        <w:rPr>
          <w:lang w:val="es-ES_tradnl" w:eastAsia="es-CO"/>
        </w:rPr>
      </w:pPr>
      <w:r w:rsidRPr="005F2C03">
        <w:rPr>
          <w:lang w:val="es-ES_tradnl" w:eastAsia="es-CO"/>
        </w:rPr>
        <w:t>La dispersión del riesgo también tiene como consecuencia la naturaleza transfronteriza e internacional del contrato de reaseguro, pues, naturalmente, dicha dispersión implica acudir a entidades en jurisdicciones foráneas, en las cuales los mercados de capitales son algo más sofisticados y, así, garantizar mayores opciones de gestión de los portafolios de los reaseguradores donde se custodian las primas recibidas para soportar los riesgos.</w:t>
      </w:r>
    </w:p>
    <w:p w14:paraId="7AEFD49A" w14:textId="77777777" w:rsidR="00516E37" w:rsidRPr="005F2C03" w:rsidRDefault="00516E37" w:rsidP="00516E37">
      <w:pPr>
        <w:ind w:right="79"/>
        <w:jc w:val="both"/>
        <w:rPr>
          <w:rFonts w:cs="Arial"/>
        </w:rPr>
      </w:pPr>
    </w:p>
    <w:p w14:paraId="5DBC1C7E" w14:textId="387E197B" w:rsidR="00516E37" w:rsidRPr="005F2C03" w:rsidRDefault="00946160" w:rsidP="00C4639A">
      <w:pPr>
        <w:pStyle w:val="Encabezado"/>
        <w:tabs>
          <w:tab w:val="left" w:pos="708"/>
        </w:tabs>
        <w:jc w:val="both"/>
        <w:outlineLvl w:val="1"/>
        <w:rPr>
          <w:rFonts w:cs="Arial"/>
          <w:b/>
        </w:rPr>
      </w:pPr>
      <w:r w:rsidRPr="005F2C03">
        <w:rPr>
          <w:rFonts w:cs="Arial"/>
          <w:b/>
        </w:rPr>
        <w:t>Marco jurídico en Colombia</w:t>
      </w:r>
    </w:p>
    <w:p w14:paraId="149DF40E" w14:textId="77777777" w:rsidR="00516E37" w:rsidRPr="005F2C03" w:rsidRDefault="00516E37" w:rsidP="00516E37">
      <w:pPr>
        <w:jc w:val="both"/>
        <w:rPr>
          <w:rFonts w:cs="Arial"/>
          <w:lang w:eastAsia="x-none"/>
        </w:rPr>
      </w:pPr>
    </w:p>
    <w:p w14:paraId="0AA86E3E" w14:textId="77777777" w:rsidR="00516E37" w:rsidRPr="005F2C03" w:rsidRDefault="00516E37" w:rsidP="00516E37">
      <w:pPr>
        <w:jc w:val="both"/>
        <w:rPr>
          <w:rFonts w:cs="Arial"/>
          <w:lang w:eastAsia="es-ES"/>
        </w:rPr>
      </w:pPr>
      <w:r w:rsidRPr="005F2C03">
        <w:rPr>
          <w:rFonts w:cs="Arial"/>
        </w:rPr>
        <w:t>El seguro es un contrato, en virtud del cual una persona jurídica llamada asegurador, asume, a cambio de una prima, un riesgo que le es trasladado por una persona natural o jurídica llamado tomador y en el cual éste tiene un interés asegurable, con el fin de indemnizarlo, en el evento de que ocurra la realización del riesgo amparado, las normas primarias que regulan el mercado asegurador, en síntesis, corresponden a las siguientes:</w:t>
      </w:r>
    </w:p>
    <w:p w14:paraId="7A99F9FD" w14:textId="77777777" w:rsidR="00516E37" w:rsidRPr="005F2C03" w:rsidRDefault="00516E37" w:rsidP="00516E37">
      <w:pPr>
        <w:jc w:val="both"/>
        <w:rPr>
          <w:rFonts w:cs="Arial"/>
        </w:rPr>
      </w:pPr>
    </w:p>
    <w:p w14:paraId="00186B54" w14:textId="77777777" w:rsidR="00516E37" w:rsidRPr="005F2C03" w:rsidRDefault="00516E37" w:rsidP="00516E37">
      <w:pPr>
        <w:jc w:val="both"/>
        <w:rPr>
          <w:rFonts w:cs="Arial"/>
        </w:rPr>
      </w:pPr>
      <w:r w:rsidRPr="005F2C03">
        <w:rPr>
          <w:rFonts w:cs="Arial"/>
        </w:rPr>
        <w:t>El contrato de seguro se encuentra regulado en el título quinto del libro cuarto del Código de Comercio, y contiene las disposiciones legales que rigen el contrato de seguro y reaseguro en Colombia.</w:t>
      </w:r>
    </w:p>
    <w:p w14:paraId="43DA3847" w14:textId="77777777" w:rsidR="00516E37" w:rsidRPr="005F2C03" w:rsidRDefault="00516E37" w:rsidP="00516E37">
      <w:pPr>
        <w:jc w:val="both"/>
        <w:rPr>
          <w:rFonts w:cs="Arial"/>
        </w:rPr>
      </w:pPr>
    </w:p>
    <w:p w14:paraId="25ADCF91" w14:textId="77777777" w:rsidR="00516E37" w:rsidRPr="005F2C03" w:rsidRDefault="00516E37" w:rsidP="00516E37">
      <w:pPr>
        <w:jc w:val="both"/>
        <w:rPr>
          <w:rFonts w:cs="Arial"/>
        </w:rPr>
      </w:pPr>
      <w:r w:rsidRPr="005F2C03">
        <w:rPr>
          <w:rFonts w:cs="Arial"/>
        </w:rPr>
        <w:t>El Estatuto Orgánico del Sistema Financiero — EOSF, contiene las disposiciones legales que rigen la organización, supervisión y control de la actividad aseguradora en Colombia.</w:t>
      </w:r>
    </w:p>
    <w:p w14:paraId="1800B1A3" w14:textId="77777777" w:rsidR="00516E37" w:rsidRPr="005F2C03" w:rsidRDefault="00516E37" w:rsidP="00516E37">
      <w:pPr>
        <w:jc w:val="both"/>
        <w:rPr>
          <w:rFonts w:cs="Arial"/>
        </w:rPr>
      </w:pPr>
    </w:p>
    <w:p w14:paraId="6DAB8A63" w14:textId="77777777" w:rsidR="00516E37" w:rsidRPr="005F2C03" w:rsidRDefault="00516E37" w:rsidP="00516E37">
      <w:pPr>
        <w:jc w:val="both"/>
        <w:rPr>
          <w:rFonts w:cs="Arial"/>
        </w:rPr>
      </w:pPr>
      <w:r w:rsidRPr="005F2C03">
        <w:rPr>
          <w:rFonts w:cs="Arial"/>
        </w:rPr>
        <w:t>Circular básica jurídica, C.E. 007 de 1996) Circular Básica Jurídica.</w:t>
      </w:r>
    </w:p>
    <w:p w14:paraId="68E8DF70" w14:textId="77777777" w:rsidR="00516E37" w:rsidRPr="005F2C03" w:rsidRDefault="00516E37" w:rsidP="00516E37">
      <w:pPr>
        <w:jc w:val="both"/>
        <w:rPr>
          <w:rFonts w:cs="Arial"/>
        </w:rPr>
      </w:pPr>
    </w:p>
    <w:p w14:paraId="48D0C60C" w14:textId="77777777" w:rsidR="00516E37" w:rsidRPr="005F2C03" w:rsidRDefault="00516E37" w:rsidP="00516E37">
      <w:pPr>
        <w:jc w:val="both"/>
        <w:rPr>
          <w:rFonts w:cs="Arial"/>
        </w:rPr>
      </w:pPr>
      <w:r w:rsidRPr="005F2C03">
        <w:rPr>
          <w:rFonts w:cs="Arial"/>
        </w:rPr>
        <w:t>La ley 45 de 1990, por la cual se expiden normas en materia de intermediación financiera, se regula la actividad aseguradora, se conceden unas facultades y se dictan otras disposiciones."</w:t>
      </w:r>
    </w:p>
    <w:p w14:paraId="0C4A8597" w14:textId="77777777" w:rsidR="00516E37" w:rsidRPr="005F2C03" w:rsidRDefault="00516E37" w:rsidP="00516E37">
      <w:pPr>
        <w:jc w:val="both"/>
        <w:rPr>
          <w:rFonts w:cs="Arial"/>
        </w:rPr>
      </w:pPr>
    </w:p>
    <w:p w14:paraId="21F3B36B" w14:textId="77777777" w:rsidR="00516E37" w:rsidRPr="005F2C03" w:rsidRDefault="00516E37" w:rsidP="00516E37">
      <w:pPr>
        <w:jc w:val="both"/>
        <w:rPr>
          <w:rFonts w:cs="Arial"/>
        </w:rPr>
      </w:pPr>
      <w:r w:rsidRPr="005F2C03">
        <w:rPr>
          <w:rFonts w:cs="Arial"/>
        </w:rPr>
        <w:t>La Ley 35 de 1993, por la cual se dictan normas generales y se señalan en ellas los objetivos y criterios a los cuales debe sujetarse el Gobierno Nacional para regular las actividades financiera, bursátil y aseguradora y cualquier otra relacionada con el manejo, aprovechamiento e inversión de recursos captados del público y se dictan otras disposiciones en materia financiera y aseguradora."</w:t>
      </w:r>
    </w:p>
    <w:p w14:paraId="1D36E73D" w14:textId="77777777" w:rsidR="00516E37" w:rsidRPr="005F2C03" w:rsidRDefault="00516E37" w:rsidP="00516E37">
      <w:pPr>
        <w:jc w:val="both"/>
        <w:rPr>
          <w:rFonts w:cs="Arial"/>
        </w:rPr>
      </w:pPr>
    </w:p>
    <w:p w14:paraId="5E51E10E" w14:textId="77777777" w:rsidR="00516E37" w:rsidRPr="005F2C03" w:rsidRDefault="00516E37" w:rsidP="00516E37">
      <w:pPr>
        <w:jc w:val="both"/>
        <w:rPr>
          <w:rFonts w:cs="Arial"/>
        </w:rPr>
      </w:pPr>
      <w:r w:rsidRPr="005F2C03">
        <w:rPr>
          <w:rFonts w:cs="Arial"/>
        </w:rPr>
        <w:t>La Ley 389 de 1997, por la cual se modifican los artículos 1036 y 1046 del Código de Comercio.</w:t>
      </w:r>
    </w:p>
    <w:p w14:paraId="0633C462" w14:textId="77777777" w:rsidR="00516E37" w:rsidRPr="005F2C03" w:rsidRDefault="00516E37" w:rsidP="00516E37">
      <w:pPr>
        <w:jc w:val="both"/>
        <w:rPr>
          <w:rFonts w:cs="Arial"/>
        </w:rPr>
      </w:pPr>
    </w:p>
    <w:p w14:paraId="0B01A578" w14:textId="77777777" w:rsidR="00516E37" w:rsidRPr="005F2C03" w:rsidRDefault="00516E37" w:rsidP="00516E37">
      <w:pPr>
        <w:jc w:val="both"/>
        <w:rPr>
          <w:rFonts w:cs="Arial"/>
        </w:rPr>
      </w:pPr>
      <w:r w:rsidRPr="005F2C03">
        <w:rPr>
          <w:rFonts w:cs="Arial"/>
        </w:rPr>
        <w:t>La Ley 795 de 2003, por la cual se ajustan algunas normas del Estatuto Orgánico del Sistema Financiero y se dictan otras disposiciones.</w:t>
      </w:r>
    </w:p>
    <w:p w14:paraId="5935931B" w14:textId="77777777" w:rsidR="00516E37" w:rsidRPr="005F2C03" w:rsidRDefault="00516E37" w:rsidP="00516E37">
      <w:pPr>
        <w:jc w:val="both"/>
        <w:rPr>
          <w:rFonts w:cs="Arial"/>
        </w:rPr>
      </w:pPr>
    </w:p>
    <w:p w14:paraId="77595A95" w14:textId="77777777" w:rsidR="00516E37" w:rsidRPr="005F2C03" w:rsidRDefault="00516E37" w:rsidP="00516E37">
      <w:pPr>
        <w:jc w:val="both"/>
        <w:rPr>
          <w:rFonts w:cs="Arial"/>
        </w:rPr>
      </w:pPr>
      <w:r w:rsidRPr="005F2C03">
        <w:rPr>
          <w:rFonts w:cs="Arial"/>
        </w:rPr>
        <w:t>La ley 1480 de 2011, por medio de la cual se expide el estatuto del consumidor y se dictan otras disposiciones.</w:t>
      </w:r>
    </w:p>
    <w:p w14:paraId="39F4F5EC" w14:textId="77777777" w:rsidR="00516E37" w:rsidRPr="005F2C03" w:rsidRDefault="00516E37" w:rsidP="00516E37">
      <w:pPr>
        <w:jc w:val="both"/>
        <w:rPr>
          <w:rFonts w:cs="Arial"/>
        </w:rPr>
      </w:pPr>
    </w:p>
    <w:p w14:paraId="058B38E1" w14:textId="77777777" w:rsidR="00516E37" w:rsidRPr="005F2C03" w:rsidRDefault="00516E37" w:rsidP="00516E37">
      <w:pPr>
        <w:jc w:val="both"/>
        <w:rPr>
          <w:rFonts w:cs="Arial"/>
        </w:rPr>
      </w:pPr>
      <w:r w:rsidRPr="005F2C03">
        <w:rPr>
          <w:rFonts w:cs="Arial"/>
        </w:rPr>
        <w:t>Ley 1564 de 2012, por medio de la cual se expide el Código General del Proceso y se dictan otras disposiciones.</w:t>
      </w:r>
    </w:p>
    <w:p w14:paraId="4911B08F" w14:textId="77777777" w:rsidR="00516E37" w:rsidRPr="005F2C03" w:rsidRDefault="00516E37" w:rsidP="00516E37">
      <w:pPr>
        <w:jc w:val="both"/>
        <w:rPr>
          <w:rFonts w:cs="Arial"/>
        </w:rPr>
      </w:pPr>
    </w:p>
    <w:p w14:paraId="46AF26DB" w14:textId="77777777" w:rsidR="00516E37" w:rsidRPr="005F2C03" w:rsidRDefault="00516E37" w:rsidP="00516E37">
      <w:pPr>
        <w:jc w:val="both"/>
        <w:rPr>
          <w:rFonts w:cs="Arial"/>
        </w:rPr>
      </w:pPr>
      <w:r w:rsidRPr="005F2C03">
        <w:rPr>
          <w:rFonts w:cs="Arial"/>
        </w:rPr>
        <w:t>Decreto Ley 094 de 2012 Por el cual se dictan normas para suprimir o reformar regulaciones, procedimientos y trámites innecesarios existentes en la Administración Pública.</w:t>
      </w:r>
    </w:p>
    <w:p w14:paraId="48726F48" w14:textId="77777777" w:rsidR="00516E37" w:rsidRPr="005F2C03" w:rsidRDefault="00516E37" w:rsidP="00516E37">
      <w:pPr>
        <w:jc w:val="both"/>
        <w:rPr>
          <w:rFonts w:cs="Arial"/>
          <w:lang w:eastAsia="x-none"/>
        </w:rPr>
      </w:pPr>
    </w:p>
    <w:p w14:paraId="06CDC87D" w14:textId="77777777" w:rsidR="00A204A8" w:rsidRPr="005F2C03" w:rsidRDefault="00A204A8" w:rsidP="00C4639A">
      <w:pPr>
        <w:widowControl w:val="0"/>
        <w:jc w:val="both"/>
        <w:rPr>
          <w:b/>
          <w:bCs/>
          <w:lang w:val="es-ES_tradnl" w:eastAsia="es-CO"/>
        </w:rPr>
      </w:pPr>
      <w:r w:rsidRPr="005F2C03">
        <w:rPr>
          <w:b/>
          <w:bCs/>
          <w:lang w:val="es-ES_tradnl" w:eastAsia="es-CO"/>
        </w:rPr>
        <w:t>Ámbito internacional</w:t>
      </w:r>
    </w:p>
    <w:p w14:paraId="1F912773" w14:textId="77777777" w:rsidR="00A204A8" w:rsidRPr="005F2C03" w:rsidRDefault="00A204A8" w:rsidP="00A204A8">
      <w:pPr>
        <w:jc w:val="both"/>
        <w:rPr>
          <w:lang w:val="es-ES_tradnl" w:eastAsia="es-CO"/>
        </w:rPr>
      </w:pPr>
    </w:p>
    <w:p w14:paraId="1EA3178F" w14:textId="77777777" w:rsidR="00A204A8" w:rsidRPr="005F2C03" w:rsidRDefault="00A204A8" w:rsidP="00A204A8">
      <w:pPr>
        <w:jc w:val="both"/>
        <w:rPr>
          <w:lang w:val="es-ES_tradnl" w:eastAsia="es-CO"/>
        </w:rPr>
      </w:pPr>
      <w:r w:rsidRPr="005F2C03">
        <w:rPr>
          <w:lang w:val="es-ES_tradnl" w:eastAsia="es-CO"/>
        </w:rPr>
        <w:t>Por ello, en el ámbito internacional, se están haciendo unos esfuerzos por armonizar los Principios Legales Aplicables al Contrato de Reaseguro (</w:t>
      </w:r>
      <w:proofErr w:type="spellStart"/>
      <w:r w:rsidRPr="005F2C03">
        <w:rPr>
          <w:lang w:val="es-ES_tradnl" w:eastAsia="es-CO"/>
        </w:rPr>
        <w:t>The</w:t>
      </w:r>
      <w:proofErr w:type="spellEnd"/>
      <w:r w:rsidRPr="005F2C03">
        <w:rPr>
          <w:lang w:val="es-ES_tradnl" w:eastAsia="es-CO"/>
        </w:rPr>
        <w:t xml:space="preserve"> </w:t>
      </w:r>
      <w:proofErr w:type="spellStart"/>
      <w:r w:rsidRPr="005F2C03">
        <w:rPr>
          <w:lang w:val="es-ES_tradnl" w:eastAsia="es-CO"/>
        </w:rPr>
        <w:t>Principles</w:t>
      </w:r>
      <w:proofErr w:type="spellEnd"/>
      <w:r w:rsidRPr="005F2C03">
        <w:rPr>
          <w:lang w:val="es-ES_tradnl" w:eastAsia="es-CO"/>
        </w:rPr>
        <w:t xml:space="preserve"> </w:t>
      </w:r>
      <w:proofErr w:type="spellStart"/>
      <w:r w:rsidRPr="005F2C03">
        <w:rPr>
          <w:lang w:val="es-ES_tradnl" w:eastAsia="es-CO"/>
        </w:rPr>
        <w:t>of</w:t>
      </w:r>
      <w:proofErr w:type="spellEnd"/>
      <w:r w:rsidRPr="005F2C03">
        <w:rPr>
          <w:lang w:val="es-ES_tradnl" w:eastAsia="es-CO"/>
        </w:rPr>
        <w:t xml:space="preserve"> </w:t>
      </w:r>
      <w:proofErr w:type="spellStart"/>
      <w:r w:rsidRPr="005F2C03">
        <w:rPr>
          <w:lang w:val="es-ES_tradnl" w:eastAsia="es-CO"/>
        </w:rPr>
        <w:t>Reinsurance</w:t>
      </w:r>
      <w:proofErr w:type="spellEnd"/>
      <w:r w:rsidRPr="005F2C03">
        <w:rPr>
          <w:lang w:val="es-ES_tradnl" w:eastAsia="es-CO"/>
        </w:rPr>
        <w:t xml:space="preserve"> </w:t>
      </w:r>
      <w:proofErr w:type="spellStart"/>
      <w:r w:rsidRPr="005F2C03">
        <w:rPr>
          <w:lang w:val="es-ES_tradnl" w:eastAsia="es-CO"/>
        </w:rPr>
        <w:t>Contract</w:t>
      </w:r>
      <w:proofErr w:type="spellEnd"/>
      <w:r w:rsidRPr="005F2C03">
        <w:rPr>
          <w:lang w:val="es-ES_tradnl" w:eastAsia="es-CO"/>
        </w:rPr>
        <w:t xml:space="preserve"> </w:t>
      </w:r>
      <w:proofErr w:type="spellStart"/>
      <w:r w:rsidRPr="005F2C03">
        <w:rPr>
          <w:lang w:val="es-ES_tradnl" w:eastAsia="es-CO"/>
        </w:rPr>
        <w:t>Law</w:t>
      </w:r>
      <w:proofErr w:type="spellEnd"/>
      <w:r w:rsidRPr="005F2C03">
        <w:rPr>
          <w:lang w:val="es-ES_tradnl" w:eastAsia="es-CO"/>
        </w:rPr>
        <w:t>, PRICL, por su sigla en inglés), con el auspicio del Instituto Internacional para la Unificación del Derecho Privado (</w:t>
      </w:r>
      <w:proofErr w:type="spellStart"/>
      <w:r w:rsidRPr="005F2C03">
        <w:rPr>
          <w:lang w:val="es-ES_tradnl" w:eastAsia="es-CO"/>
        </w:rPr>
        <w:t>Unidroit</w:t>
      </w:r>
      <w:proofErr w:type="spellEnd"/>
      <w:r w:rsidRPr="005F2C03">
        <w:rPr>
          <w:lang w:val="es-ES_tradnl" w:eastAsia="es-CO"/>
        </w:rPr>
        <w:t>), cuya Asamblea General formuló una recomendación para el Consejo de Gobierno, el cual, en mayo del 2019, expidió una versión inicial de los PRICL. Esta primera versión está siendo estudiada por grupos de trabajo y expertos internacionales, incluyendo algunos representantes de América Latina.</w:t>
      </w:r>
    </w:p>
    <w:p w14:paraId="71CB85F0" w14:textId="77777777" w:rsidR="00A204A8" w:rsidRPr="005F2C03" w:rsidRDefault="00A204A8" w:rsidP="00A204A8">
      <w:pPr>
        <w:jc w:val="both"/>
        <w:rPr>
          <w:lang w:val="es-ES_tradnl" w:eastAsia="es-CO"/>
        </w:rPr>
      </w:pPr>
    </w:p>
    <w:p w14:paraId="27DE42D9" w14:textId="77777777" w:rsidR="00A204A8" w:rsidRPr="005F2C03" w:rsidRDefault="00A204A8" w:rsidP="00A204A8">
      <w:pPr>
        <w:jc w:val="both"/>
        <w:rPr>
          <w:lang w:val="es-ES_tradnl" w:eastAsia="es-CO"/>
        </w:rPr>
      </w:pPr>
      <w:r w:rsidRPr="005F2C03">
        <w:rPr>
          <w:lang w:val="es-ES_tradnl" w:eastAsia="es-CO"/>
        </w:rPr>
        <w:lastRenderedPageBreak/>
        <w:t>El gran objetivo de este trabajo es contar con unos principios internacionales comunes a todos los contratos de reaseguro y, así, mitigar su litigiosidad por cuestiones imputables a las diferencias entre la ley aplicable al contrato de seguro y la propia del reaseguro, como, en caso de litigio, contar con reglas comunes y claras para interpretar y resolver el contrato de reaseguro.</w:t>
      </w:r>
    </w:p>
    <w:p w14:paraId="14B73FA6" w14:textId="77777777" w:rsidR="00A204A8" w:rsidRPr="005F2C03" w:rsidRDefault="00A204A8" w:rsidP="00A204A8">
      <w:pPr>
        <w:jc w:val="both"/>
        <w:rPr>
          <w:lang w:val="es-ES_tradnl" w:eastAsia="es-CO"/>
        </w:rPr>
      </w:pPr>
    </w:p>
    <w:p w14:paraId="55117B5A" w14:textId="77777777" w:rsidR="00A204A8" w:rsidRPr="005F2C03" w:rsidRDefault="00A204A8" w:rsidP="00A204A8">
      <w:pPr>
        <w:jc w:val="both"/>
        <w:rPr>
          <w:lang w:val="es-ES_tradnl" w:eastAsia="es-CO"/>
        </w:rPr>
      </w:pPr>
      <w:r w:rsidRPr="005F2C03">
        <w:rPr>
          <w:lang w:val="es-ES_tradnl" w:eastAsia="es-CO"/>
        </w:rPr>
        <w:t>Lo anterior resulta vital, pues cuando analizamos la estructura de las actividades económicas que dan soporte al desarrollo de los países, vemos que, al final de la cadena, siempre se encuentra un asegurador que respalda el resultado de esta. Por ejemplo, en el régimen pensional de ahorro individual con solidaridad (nuestro sistema privado y obligatorio de pensiones), el riesgo de muerte e invalidez de los afiliados al fondo la soporta un asegurador que emite una póliza de seguro de invalidez y sobrevivencia, al tiempo que la pensión de vejez también es cubierta por un asegurador que emite una renta vitalicia.</w:t>
      </w:r>
    </w:p>
    <w:p w14:paraId="1AB60071" w14:textId="77777777" w:rsidR="00A204A8" w:rsidRPr="005F2C03" w:rsidRDefault="00A204A8" w:rsidP="00A204A8">
      <w:pPr>
        <w:jc w:val="both"/>
        <w:rPr>
          <w:lang w:val="es-ES_tradnl" w:eastAsia="es-CO"/>
        </w:rPr>
      </w:pPr>
    </w:p>
    <w:p w14:paraId="533BB33C" w14:textId="77777777" w:rsidR="00A204A8" w:rsidRPr="005F2C03" w:rsidRDefault="00A204A8" w:rsidP="00A204A8">
      <w:pPr>
        <w:jc w:val="both"/>
        <w:rPr>
          <w:lang w:val="es-ES_tradnl" w:eastAsia="es-CO"/>
        </w:rPr>
      </w:pPr>
      <w:r w:rsidRPr="005F2C03">
        <w:rPr>
          <w:lang w:val="es-ES_tradnl" w:eastAsia="es-CO"/>
        </w:rPr>
        <w:t>En el régimen de seguridad social en salud, para el caso de las enfermedades de alto costo, la legislación nacional prevé su cobertura bajo una póliza de seguro de enfermedades de alto costo, mientras que el sistema de riesgos laborales es cubierto enteramente por entidades aseguradoras. En los cuatro casos, dichos aseguradores dispersan estos riesgos en mercados internacionales de reaseguro, ya sea bajo estructuras de transferencia del riesgo proporcionales, de exceso de pérdida o, incluso, catastróficas, buscando cubrir escenarios de riesgos desconocidos, severos y muy poco frecuentes.</w:t>
      </w:r>
    </w:p>
    <w:p w14:paraId="5869679B" w14:textId="77777777" w:rsidR="00516E37" w:rsidRPr="005F2C03" w:rsidRDefault="00516E37" w:rsidP="00A204A8">
      <w:pPr>
        <w:jc w:val="both"/>
        <w:rPr>
          <w:lang w:val="es-ES_tradnl" w:eastAsia="es-CO"/>
        </w:rPr>
      </w:pPr>
    </w:p>
    <w:p w14:paraId="1A4C9BEF" w14:textId="77777777" w:rsidR="00516E37" w:rsidRPr="005F2C03" w:rsidRDefault="00516E37" w:rsidP="00C4639A">
      <w:pPr>
        <w:widowControl w:val="0"/>
        <w:jc w:val="both"/>
        <w:rPr>
          <w:rFonts w:eastAsia="Batang" w:cs="Arial"/>
          <w:b/>
          <w:lang w:val="es-ES_tradnl"/>
        </w:rPr>
      </w:pPr>
      <w:r w:rsidRPr="005F2C03">
        <w:rPr>
          <w:rFonts w:eastAsia="Batang" w:cs="Arial"/>
          <w:b/>
          <w:lang w:val="es-ES_tradnl"/>
        </w:rPr>
        <w:t>El mercado Reasegurador</w:t>
      </w:r>
    </w:p>
    <w:p w14:paraId="0806F121" w14:textId="77777777" w:rsidR="00516E37" w:rsidRPr="005F2C03" w:rsidRDefault="00516E37" w:rsidP="00516E37">
      <w:pPr>
        <w:jc w:val="both"/>
        <w:rPr>
          <w:rFonts w:eastAsia="Batang" w:cs="Arial"/>
          <w:lang w:val="es-ES_tradnl"/>
        </w:rPr>
      </w:pPr>
    </w:p>
    <w:p w14:paraId="0D5D262E" w14:textId="77777777" w:rsidR="00516E37" w:rsidRPr="005F2C03" w:rsidRDefault="00516E37" w:rsidP="00516E37">
      <w:pPr>
        <w:jc w:val="both"/>
        <w:rPr>
          <w:rFonts w:eastAsia="Times New Roman" w:cs="Times New Roman"/>
          <w:lang w:val="es-ES_tradnl" w:eastAsia="es-CO"/>
        </w:rPr>
      </w:pPr>
      <w:r w:rsidRPr="005F2C03">
        <w:rPr>
          <w:lang w:val="es-ES_tradnl" w:eastAsia="es-CO"/>
        </w:rPr>
        <w:t xml:space="preserve">Para la Dra. Rebeca Herrera Diaz, </w:t>
      </w:r>
      <w:proofErr w:type="spellStart"/>
      <w:r w:rsidRPr="005F2C03">
        <w:rPr>
          <w:lang w:val="es-ES_tradnl" w:eastAsia="es-CO"/>
        </w:rPr>
        <w:t>Counsel</w:t>
      </w:r>
      <w:proofErr w:type="spellEnd"/>
      <w:r w:rsidRPr="005F2C03">
        <w:rPr>
          <w:lang w:val="es-ES_tradnl" w:eastAsia="es-CO"/>
        </w:rPr>
        <w:t xml:space="preserve"> de seguros y reaseguros Prieto Carrizosa Ferrero DU &amp; Uría (PPU), en su artículo: Qué es un contrato de reaseguro y cómo funciona, publicado en el portal web de ámbito jurídico el 4 de diciembre de 2020</w:t>
      </w:r>
      <w:r w:rsidRPr="005F2C03">
        <w:rPr>
          <w:rStyle w:val="Refdenotaalpie"/>
          <w:lang w:val="es-ES_tradnl" w:eastAsia="es-CO"/>
        </w:rPr>
        <w:footnoteReference w:id="4"/>
      </w:r>
      <w:r w:rsidRPr="005F2C03">
        <w:rPr>
          <w:lang w:val="es-ES_tradnl" w:eastAsia="es-CO"/>
        </w:rPr>
        <w:t>, “</w:t>
      </w:r>
      <w:r w:rsidRPr="005F2C03">
        <w:rPr>
          <w:i/>
          <w:iCs/>
          <w:lang w:val="es-ES_tradnl" w:eastAsia="es-CO"/>
        </w:rPr>
        <w:t>El contrato de reaseguro es uno de los contratos típicos más sofisticados que contempla nuestro Código de Comercio, no solamente porque las partes son instituciones financieras determinadas, sino porque la costumbre y los principios internacionales de la actividad reaseguradora les aplican y ambas partes son profesionales en su actividad. Por esto, de ellas se espera la máxima buena fe o ubérrima buena fe. El reaseguro es “el seguro del seguro</w:t>
      </w:r>
      <w:r w:rsidRPr="005F2C03">
        <w:rPr>
          <w:lang w:val="es-ES_tradnl" w:eastAsia="es-CO"/>
        </w:rPr>
        <w:t>”, como lo define buena parte de la doctrina nacional e internacional. Y ello es así, pues el contrato de reaseguro tiene como objeto cubrir el patrimonio del asegurador en los términos pactados y de acuerdo con el riesgo asegurado.</w:t>
      </w:r>
    </w:p>
    <w:p w14:paraId="498E661D" w14:textId="77777777" w:rsidR="00516E37" w:rsidRPr="005F2C03" w:rsidRDefault="00516E37" w:rsidP="00516E37">
      <w:pPr>
        <w:jc w:val="both"/>
        <w:rPr>
          <w:lang w:val="es-ES_tradnl" w:eastAsia="es-CO"/>
        </w:rPr>
      </w:pPr>
    </w:p>
    <w:p w14:paraId="76F0313C" w14:textId="77777777" w:rsidR="00516E37" w:rsidRPr="005F2C03" w:rsidRDefault="00516E37" w:rsidP="00516E37">
      <w:pPr>
        <w:jc w:val="both"/>
        <w:rPr>
          <w:lang w:val="es-ES_tradnl" w:eastAsia="es-CO"/>
        </w:rPr>
      </w:pPr>
      <w:r w:rsidRPr="005F2C03">
        <w:rPr>
          <w:lang w:val="es-ES_tradnl" w:eastAsia="es-CO"/>
        </w:rPr>
        <w:t>Uno de los pilares de la actividad aseguradora es la dispersión de riesgos, según el cual se busca repartir el riesgo asegurado entre muchos entes, de tal forma que, para cada uno de ellos, en caso de materializarse el siniestro, el valor pagadero a título de indemnización sea más pequeño.</w:t>
      </w:r>
    </w:p>
    <w:p w14:paraId="779DCEAB" w14:textId="77777777" w:rsidR="00516E37" w:rsidRPr="005F2C03" w:rsidRDefault="00516E37" w:rsidP="00516E37">
      <w:pPr>
        <w:jc w:val="both"/>
        <w:rPr>
          <w:lang w:val="es-ES_tradnl" w:eastAsia="es-CO"/>
        </w:rPr>
      </w:pPr>
    </w:p>
    <w:p w14:paraId="7C0E6A55" w14:textId="77777777" w:rsidR="00516E37" w:rsidRPr="005F2C03" w:rsidRDefault="00516E37" w:rsidP="00516E37">
      <w:pPr>
        <w:jc w:val="both"/>
        <w:rPr>
          <w:lang w:val="es-ES_tradnl" w:eastAsia="es-CO"/>
        </w:rPr>
      </w:pPr>
      <w:r w:rsidRPr="005F2C03">
        <w:rPr>
          <w:lang w:val="es-ES_tradnl" w:eastAsia="es-CO"/>
        </w:rPr>
        <w:t xml:space="preserve">La dispersión de riesgos se logra utilizando el coaseguro o el reaseguro. En el primero, se busca que dos o más aseguradores soporten el riesgo asegurado de manera conjunta frente al asegurado. En el reaseguro se pretende transferir una porción o un exceso del riesgo que el asegurador aceptó del tomador del seguro hacia una entidad especializada, que se llama reasegurador, a cambio de la cesión de una porción de la prima pagadera por el tomador o a cambio del pago de una suma de dinero por la protección en exceso de pérdida </w:t>
      </w:r>
      <w:r w:rsidRPr="005F2C03">
        <w:rPr>
          <w:lang w:val="es-ES_tradnl" w:eastAsia="es-CO"/>
        </w:rPr>
        <w:lastRenderedPageBreak/>
        <w:t>otorgada. En el reaseguro, el asegurado, en principio, no tiene relación jurídica con el asegurador, pues, en caso de siniestro, será el asegurador quien deba pagar el 100</w:t>
      </w:r>
      <w:r w:rsidRPr="005F2C03">
        <w:rPr>
          <w:rFonts w:ascii="Arial" w:hAnsi="Arial" w:cs="Arial"/>
          <w:lang w:val="es-ES_tradnl" w:eastAsia="es-CO"/>
        </w:rPr>
        <w:t> </w:t>
      </w:r>
      <w:r w:rsidRPr="005F2C03">
        <w:rPr>
          <w:lang w:val="es-ES_tradnl" w:eastAsia="es-CO"/>
        </w:rPr>
        <w:t>% del valor del sinestro.</w:t>
      </w:r>
    </w:p>
    <w:p w14:paraId="325DC3A8" w14:textId="77777777" w:rsidR="00210E9F" w:rsidRPr="005F2C03" w:rsidRDefault="00210E9F" w:rsidP="002C43B5">
      <w:pPr>
        <w:autoSpaceDE w:val="0"/>
        <w:autoSpaceDN w:val="0"/>
        <w:adjustRightInd w:val="0"/>
        <w:jc w:val="both"/>
        <w:rPr>
          <w:rFonts w:eastAsiaTheme="minorEastAsia" w:cs="Arial"/>
          <w:lang w:val="es-ES_tradnl"/>
        </w:rPr>
      </w:pPr>
    </w:p>
    <w:p w14:paraId="64128D27" w14:textId="77777777" w:rsidR="00B93191" w:rsidRPr="005F2C03" w:rsidRDefault="00B93191" w:rsidP="00C4639A">
      <w:pPr>
        <w:pStyle w:val="Ttulo2"/>
        <w:rPr>
          <w:rFonts w:cs="Arial"/>
          <w:szCs w:val="22"/>
          <w:lang w:val="es-MX"/>
        </w:rPr>
      </w:pPr>
      <w:bookmarkStart w:id="10" w:name="_Toc154502430"/>
      <w:bookmarkStart w:id="11" w:name="_Toc160477437"/>
      <w:bookmarkStart w:id="12" w:name="_Toc503783331"/>
      <w:bookmarkStart w:id="13" w:name="_Toc504377150"/>
      <w:bookmarkStart w:id="14" w:name="_Toc511938281"/>
      <w:bookmarkStart w:id="15" w:name="_Toc522732803"/>
      <w:bookmarkStart w:id="16" w:name="_Toc29817805"/>
      <w:bookmarkStart w:id="17" w:name="_Toc66214997"/>
      <w:r w:rsidRPr="005F2C03">
        <w:rPr>
          <w:rFonts w:cs="Arial"/>
          <w:szCs w:val="22"/>
          <w:lang w:val="es-MX"/>
        </w:rPr>
        <w:t>ASPECTOS GENERALES DE LA INDUSTRIA ASEGURADORA</w:t>
      </w:r>
      <w:bookmarkEnd w:id="10"/>
      <w:bookmarkEnd w:id="11"/>
    </w:p>
    <w:p w14:paraId="7A637349" w14:textId="77777777" w:rsidR="00946160" w:rsidRPr="005F2C03" w:rsidRDefault="00946160" w:rsidP="00946160">
      <w:pPr>
        <w:rPr>
          <w:lang w:val="es-MX"/>
        </w:rPr>
      </w:pPr>
    </w:p>
    <w:p w14:paraId="30EAB94D" w14:textId="0F4AD620" w:rsidR="00946160" w:rsidRPr="005F2C03" w:rsidRDefault="00946160" w:rsidP="00C4639A">
      <w:pPr>
        <w:pStyle w:val="TtuloTDC"/>
        <w:spacing w:before="0" w:line="240" w:lineRule="auto"/>
        <w:contextualSpacing/>
        <w:jc w:val="both"/>
        <w:rPr>
          <w:rFonts w:ascii="Arial Narrow" w:hAnsi="Arial Narrow" w:cs="Arial"/>
          <w:b/>
          <w:color w:val="000000" w:themeColor="text1"/>
          <w:sz w:val="22"/>
          <w:szCs w:val="22"/>
          <w:lang w:val="es-ES_tradnl"/>
        </w:rPr>
      </w:pPr>
      <w:r w:rsidRPr="005F2C03">
        <w:rPr>
          <w:rFonts w:ascii="Arial Narrow" w:hAnsi="Arial Narrow" w:cs="Arial"/>
          <w:b/>
          <w:color w:val="000000" w:themeColor="text1"/>
          <w:sz w:val="22"/>
          <w:szCs w:val="22"/>
          <w:lang w:val="es-ES_tradnl"/>
        </w:rPr>
        <w:t>Gremios y Organismos Reguladores del Sector</w:t>
      </w:r>
    </w:p>
    <w:p w14:paraId="37D384A8" w14:textId="77777777" w:rsidR="00946160" w:rsidRPr="005F2C03" w:rsidRDefault="00946160" w:rsidP="00946160">
      <w:pPr>
        <w:pStyle w:val="TtuloTDC"/>
        <w:spacing w:before="0" w:after="0" w:line="240" w:lineRule="auto"/>
        <w:contextualSpacing/>
        <w:jc w:val="both"/>
        <w:rPr>
          <w:rFonts w:ascii="Arial Narrow" w:hAnsi="Arial Narrow" w:cs="Arial"/>
          <w:color w:val="000000" w:themeColor="text1"/>
          <w:sz w:val="22"/>
          <w:szCs w:val="22"/>
          <w:lang w:val="es-ES_tradnl"/>
        </w:rPr>
      </w:pPr>
    </w:p>
    <w:p w14:paraId="4894F806" w14:textId="77777777" w:rsidR="00946160" w:rsidRPr="005F2C03" w:rsidRDefault="00946160">
      <w:pPr>
        <w:pStyle w:val="TtuloTDC"/>
        <w:numPr>
          <w:ilvl w:val="0"/>
          <w:numId w:val="9"/>
        </w:numPr>
        <w:spacing w:after="0" w:line="240" w:lineRule="auto"/>
        <w:contextualSpacing/>
        <w:jc w:val="both"/>
        <w:rPr>
          <w:rFonts w:ascii="Arial Narrow" w:hAnsi="Arial Narrow" w:cs="Arial"/>
          <w:b/>
          <w:color w:val="000000" w:themeColor="text1"/>
          <w:sz w:val="22"/>
          <w:szCs w:val="22"/>
          <w:lang w:val="es-ES_tradnl"/>
        </w:rPr>
      </w:pPr>
      <w:r w:rsidRPr="005F2C03">
        <w:rPr>
          <w:rFonts w:ascii="Arial Narrow" w:hAnsi="Arial Narrow" w:cs="Arial"/>
          <w:b/>
          <w:color w:val="000000" w:themeColor="text1"/>
          <w:sz w:val="22"/>
          <w:szCs w:val="22"/>
          <w:lang w:val="es-ES_tradnl"/>
        </w:rPr>
        <w:t>Superintendencia Financiera de Colombia:</w:t>
      </w:r>
    </w:p>
    <w:p w14:paraId="6D04E545" w14:textId="77777777" w:rsidR="00946160" w:rsidRPr="005F2C03" w:rsidRDefault="00946160" w:rsidP="00946160">
      <w:pPr>
        <w:rPr>
          <w:lang w:val="es-ES_tradnl" w:eastAsia="es-CO"/>
        </w:rPr>
      </w:pPr>
    </w:p>
    <w:p w14:paraId="15FBD39A" w14:textId="77777777" w:rsidR="00946160" w:rsidRPr="005F2C03" w:rsidRDefault="00946160" w:rsidP="00946160">
      <w:pPr>
        <w:jc w:val="both"/>
        <w:rPr>
          <w:rFonts w:cs="Times New Roman"/>
          <w:color w:val="000000" w:themeColor="text1"/>
          <w:lang w:val="es-ES_tradnl"/>
        </w:rPr>
      </w:pPr>
      <w:r w:rsidRPr="005F2C03">
        <w:rPr>
          <w:color w:val="000000" w:themeColor="text1"/>
          <w:lang w:val="es-ES_tradnl"/>
        </w:rPr>
        <w:t xml:space="preserve">La Superintendencia Financiera de Colombia, es un organismo técnico adscrito al Ministerio de Hacienda y Crédito Público, con personería jurídica, autonomía administrativa y financiera y patrimonio propio. </w:t>
      </w:r>
    </w:p>
    <w:p w14:paraId="78F1711E" w14:textId="77777777" w:rsidR="00946160" w:rsidRPr="005F2C03" w:rsidRDefault="00946160" w:rsidP="00946160">
      <w:pPr>
        <w:jc w:val="both"/>
        <w:rPr>
          <w:color w:val="000000" w:themeColor="text1"/>
          <w:lang w:val="es-ES_tradnl"/>
        </w:rPr>
      </w:pPr>
    </w:p>
    <w:p w14:paraId="618D7240" w14:textId="77777777" w:rsidR="00946160" w:rsidRPr="005F2C03" w:rsidRDefault="00946160" w:rsidP="00946160">
      <w:pPr>
        <w:jc w:val="both"/>
        <w:rPr>
          <w:color w:val="000000" w:themeColor="text1"/>
          <w:lang w:val="es-ES_tradnl"/>
        </w:rPr>
      </w:pPr>
      <w:r w:rsidRPr="005F2C03">
        <w:rPr>
          <w:color w:val="000000" w:themeColor="text1"/>
          <w:lang w:val="es-ES_tradnl"/>
        </w:rPr>
        <w:t>La Superintendencia Financiera de Colombia tiene por objetivo supervisar el sistema financiero colombiano con el fin de preservar su estabilidad, seguridad y confianza, as</w:t>
      </w:r>
      <w:r w:rsidRPr="005F2C03">
        <w:rPr>
          <w:rFonts w:cs="Arial Narrow"/>
          <w:color w:val="000000" w:themeColor="text1"/>
          <w:lang w:val="es-ES_tradnl"/>
        </w:rPr>
        <w:t>í</w:t>
      </w:r>
      <w:r w:rsidRPr="005F2C03">
        <w:rPr>
          <w:color w:val="000000" w:themeColor="text1"/>
          <w:lang w:val="es-ES_tradnl"/>
        </w:rPr>
        <w:t>́ como, promover, organizar y desarrollar el mercado de valores colombiano y la protección de los inversionistas, ahorradores y asegurados.</w:t>
      </w:r>
    </w:p>
    <w:p w14:paraId="0A64DFE3" w14:textId="77777777" w:rsidR="00946160" w:rsidRPr="005F2C03" w:rsidRDefault="00946160" w:rsidP="00946160">
      <w:pPr>
        <w:jc w:val="both"/>
        <w:rPr>
          <w:color w:val="000000" w:themeColor="text1"/>
          <w:lang w:val="es-ES_tradnl"/>
        </w:rPr>
      </w:pPr>
    </w:p>
    <w:p w14:paraId="5AEDCAC0" w14:textId="77777777" w:rsidR="00946160" w:rsidRPr="005F2C03" w:rsidRDefault="00946160" w:rsidP="00946160">
      <w:pPr>
        <w:jc w:val="both"/>
        <w:rPr>
          <w:color w:val="000000" w:themeColor="text1"/>
          <w:lang w:val="es-ES_tradnl"/>
        </w:rPr>
      </w:pPr>
      <w:r w:rsidRPr="005F2C03">
        <w:rPr>
          <w:color w:val="000000" w:themeColor="text1"/>
          <w:lang w:val="es-ES_tradnl"/>
        </w:rPr>
        <w:t xml:space="preserve">Respecto al sector asegurador vela por el cumplimento de las disposiciones previstas en el Estatuto Orgánico del Sistema Financiero, en especial las relacionadas con lo dispuesto en el Decreto 2954 de 2010, que establece los requisitos financieros y de solvencia de las entidades del sector: </w:t>
      </w:r>
    </w:p>
    <w:p w14:paraId="6F8805EF" w14:textId="77777777" w:rsidR="00946160" w:rsidRPr="005F2C03" w:rsidRDefault="00946160" w:rsidP="00946160">
      <w:pPr>
        <w:jc w:val="both"/>
        <w:rPr>
          <w:color w:val="000000" w:themeColor="text1"/>
          <w:lang w:val="es-ES_tradnl"/>
        </w:rPr>
      </w:pPr>
    </w:p>
    <w:p w14:paraId="50588807" w14:textId="77777777" w:rsidR="00946160" w:rsidRPr="005F2C03" w:rsidRDefault="00946160" w:rsidP="00946160">
      <w:pPr>
        <w:jc w:val="both"/>
        <w:rPr>
          <w:color w:val="000000" w:themeColor="text1"/>
          <w:lang w:val="es-ES_tradnl"/>
        </w:rPr>
      </w:pPr>
      <w:r w:rsidRPr="005F2C03">
        <w:rPr>
          <w:color w:val="000000" w:themeColor="text1"/>
          <w:lang w:val="es-ES_tradnl"/>
        </w:rPr>
        <w:t>“</w:t>
      </w:r>
      <w:r w:rsidRPr="005F2C03">
        <w:rPr>
          <w:i/>
          <w:color w:val="000000" w:themeColor="text1"/>
          <w:lang w:val="es-ES_tradnl"/>
        </w:rPr>
        <w:t>Que, de acuerdo con los estándares internacionales de regulación, los requerimientos de solvencia para las entidades aseguradoras deben tener en cuenta no sólo los riesgos de suscripción asociados a los riesgos amparados y las primas cobradas, sino que también deben considerar otro tipo de riesgos como los propiamente financieros tal como el de mercado y el de activo</w:t>
      </w:r>
      <w:r w:rsidRPr="005F2C03">
        <w:rPr>
          <w:color w:val="000000" w:themeColor="text1"/>
          <w:lang w:val="es-ES_tradnl"/>
        </w:rPr>
        <w:t xml:space="preserve">” </w:t>
      </w:r>
    </w:p>
    <w:p w14:paraId="6F674517" w14:textId="77777777" w:rsidR="00946160" w:rsidRPr="005F2C03" w:rsidRDefault="00946160">
      <w:pPr>
        <w:pStyle w:val="TtuloTDC"/>
        <w:numPr>
          <w:ilvl w:val="0"/>
          <w:numId w:val="9"/>
        </w:numPr>
        <w:spacing w:line="240" w:lineRule="auto"/>
        <w:contextualSpacing/>
        <w:jc w:val="both"/>
        <w:rPr>
          <w:rFonts w:ascii="Arial Narrow" w:hAnsi="Arial Narrow" w:cs="Arial"/>
          <w:b/>
          <w:color w:val="000000" w:themeColor="text1"/>
          <w:sz w:val="22"/>
          <w:szCs w:val="22"/>
          <w:lang w:val="es-ES_tradnl"/>
        </w:rPr>
      </w:pPr>
      <w:proofErr w:type="spellStart"/>
      <w:r w:rsidRPr="005F2C03">
        <w:rPr>
          <w:rFonts w:ascii="Arial Narrow" w:hAnsi="Arial Narrow" w:cs="Arial"/>
          <w:b/>
          <w:color w:val="000000" w:themeColor="text1"/>
          <w:sz w:val="22"/>
          <w:szCs w:val="22"/>
          <w:lang w:val="es-ES_tradnl"/>
        </w:rPr>
        <w:t>Fasecolda</w:t>
      </w:r>
      <w:proofErr w:type="spellEnd"/>
      <w:r w:rsidRPr="005F2C03">
        <w:rPr>
          <w:rFonts w:ascii="Arial Narrow" w:hAnsi="Arial Narrow" w:cs="Arial"/>
          <w:b/>
          <w:color w:val="000000" w:themeColor="text1"/>
          <w:sz w:val="22"/>
          <w:szCs w:val="22"/>
          <w:lang w:val="es-ES_tradnl"/>
        </w:rPr>
        <w:t>:</w:t>
      </w:r>
    </w:p>
    <w:p w14:paraId="67D2674F" w14:textId="77777777" w:rsidR="00946160" w:rsidRPr="005F2C03" w:rsidRDefault="00946160" w:rsidP="00946160">
      <w:pPr>
        <w:jc w:val="both"/>
        <w:rPr>
          <w:rFonts w:cs="Times New Roman"/>
          <w:color w:val="000000" w:themeColor="text1"/>
          <w:lang w:val="es-ES_tradnl"/>
        </w:rPr>
      </w:pPr>
      <w:r w:rsidRPr="005F2C03">
        <w:rPr>
          <w:color w:val="000000" w:themeColor="text1"/>
          <w:lang w:val="es-ES_tradnl"/>
        </w:rPr>
        <w:t xml:space="preserve">Como entidad gremial sin ánimo de lucro, </w:t>
      </w:r>
      <w:proofErr w:type="spellStart"/>
      <w:r w:rsidRPr="005F2C03">
        <w:rPr>
          <w:color w:val="000000" w:themeColor="text1"/>
          <w:lang w:val="es-ES_tradnl"/>
        </w:rPr>
        <w:t>Fasecolda</w:t>
      </w:r>
      <w:proofErr w:type="spellEnd"/>
      <w:r w:rsidRPr="005F2C03">
        <w:rPr>
          <w:color w:val="000000" w:themeColor="text1"/>
          <w:lang w:val="es-ES_tradnl"/>
        </w:rPr>
        <w:t xml:space="preserve"> representa la actividad del sector asegurador frente a las entidades de vigilancia y control, así como a la sociedad en general.</w:t>
      </w:r>
    </w:p>
    <w:p w14:paraId="0DD22788" w14:textId="77777777" w:rsidR="00946160" w:rsidRPr="005F2C03" w:rsidRDefault="00946160" w:rsidP="00946160">
      <w:pPr>
        <w:jc w:val="both"/>
        <w:rPr>
          <w:color w:val="000000" w:themeColor="text1"/>
          <w:lang w:val="es-ES_tradnl"/>
        </w:rPr>
      </w:pPr>
    </w:p>
    <w:p w14:paraId="52433A1D" w14:textId="77777777" w:rsidR="00946160" w:rsidRPr="005F2C03" w:rsidRDefault="00946160" w:rsidP="00946160">
      <w:pPr>
        <w:jc w:val="both"/>
        <w:rPr>
          <w:color w:val="000000" w:themeColor="text1"/>
          <w:lang w:val="es-ES_tradnl"/>
        </w:rPr>
      </w:pPr>
      <w:r w:rsidRPr="005F2C03">
        <w:rPr>
          <w:color w:val="000000" w:themeColor="text1"/>
          <w:lang w:val="es-ES_tradnl"/>
        </w:rPr>
        <w:t>La Federación ha liderado el desarrollo del renglón de seguros mediante la realización de actividades permanentes, en el ámbito nacional e internacional, y gracias a su compromiso con las empresas afiliadas el gremio. En especial, está dedicada a impulsar la cultura de los seguros y la modernización de la industria. Para alcanzar este propósito, analiza y recolecta estadísticas generales, así como específicas de los resultados del sector.</w:t>
      </w:r>
    </w:p>
    <w:p w14:paraId="78193CBA" w14:textId="77777777" w:rsidR="00946160" w:rsidRPr="005F2C03" w:rsidRDefault="00946160" w:rsidP="00946160">
      <w:pPr>
        <w:jc w:val="both"/>
        <w:rPr>
          <w:color w:val="000000" w:themeColor="text1"/>
          <w:lang w:val="es-ES_tradnl"/>
        </w:rPr>
      </w:pPr>
    </w:p>
    <w:p w14:paraId="7B3BB5BC" w14:textId="77777777" w:rsidR="00946160" w:rsidRPr="005F2C03" w:rsidRDefault="00946160" w:rsidP="00946160">
      <w:pPr>
        <w:jc w:val="both"/>
        <w:rPr>
          <w:color w:val="000000" w:themeColor="text1"/>
          <w:lang w:val="es-ES_tradnl"/>
        </w:rPr>
      </w:pPr>
      <w:r w:rsidRPr="005F2C03">
        <w:rPr>
          <w:color w:val="000000" w:themeColor="text1"/>
          <w:lang w:val="es-ES_tradnl"/>
        </w:rPr>
        <w:t>También, adelanta un seguimiento de aquellos proyectos de ley que se tramitan en el Congreso de la República y que puedan tener incidencia en el renglón de seguros, al mismo tiempo que brinda asesoría técnica, jurídica y económica a sus asociados</w:t>
      </w:r>
      <w:r w:rsidRPr="005F2C03">
        <w:rPr>
          <w:rStyle w:val="Refdenotaalpie"/>
          <w:color w:val="000000" w:themeColor="text1"/>
          <w:lang w:val="es-ES_tradnl"/>
        </w:rPr>
        <w:footnoteReference w:id="5"/>
      </w:r>
      <w:r w:rsidRPr="005F2C03">
        <w:rPr>
          <w:color w:val="000000" w:themeColor="text1"/>
          <w:lang w:val="es-ES_tradnl"/>
        </w:rPr>
        <w:t>.</w:t>
      </w:r>
    </w:p>
    <w:p w14:paraId="46BDB848" w14:textId="77777777" w:rsidR="00C4639A" w:rsidRPr="005F2C03" w:rsidRDefault="00C4639A" w:rsidP="00946160">
      <w:pPr>
        <w:jc w:val="both"/>
        <w:rPr>
          <w:color w:val="000000" w:themeColor="text1"/>
          <w:lang w:val="es-ES_tradnl"/>
        </w:rPr>
      </w:pPr>
    </w:p>
    <w:p w14:paraId="564A9405" w14:textId="77777777" w:rsidR="00C4639A" w:rsidRPr="005F2C03" w:rsidRDefault="00C4639A" w:rsidP="00946160">
      <w:pPr>
        <w:jc w:val="both"/>
        <w:rPr>
          <w:color w:val="000000" w:themeColor="text1"/>
          <w:lang w:val="es-ES_tradnl"/>
        </w:rPr>
      </w:pPr>
    </w:p>
    <w:p w14:paraId="2EAD5291" w14:textId="77777777" w:rsidR="00C4639A" w:rsidRPr="005F2C03" w:rsidRDefault="00C4639A" w:rsidP="00946160">
      <w:pPr>
        <w:jc w:val="both"/>
        <w:rPr>
          <w:color w:val="000000" w:themeColor="text1"/>
          <w:lang w:val="es-ES_tradnl"/>
        </w:rPr>
      </w:pPr>
    </w:p>
    <w:p w14:paraId="4F99DB6C" w14:textId="77777777" w:rsidR="00946160" w:rsidRPr="005F2C03" w:rsidRDefault="00946160" w:rsidP="00946160">
      <w:pPr>
        <w:rPr>
          <w:lang w:val="es-ES_tradnl"/>
        </w:rPr>
      </w:pPr>
    </w:p>
    <w:p w14:paraId="1601ED98" w14:textId="77777777" w:rsidR="00946160" w:rsidRPr="005F2C03" w:rsidRDefault="00946160" w:rsidP="00C4639A">
      <w:pPr>
        <w:jc w:val="both"/>
        <w:rPr>
          <w:rFonts w:eastAsia="Batang" w:cs="Arial"/>
          <w:b/>
          <w:bCs/>
          <w:lang w:val="es-ES"/>
        </w:rPr>
      </w:pPr>
      <w:r w:rsidRPr="005F2C03">
        <w:rPr>
          <w:rFonts w:eastAsia="Batang" w:cs="Arial"/>
          <w:b/>
          <w:bCs/>
          <w:lang w:val="es-ES_tradnl"/>
        </w:rPr>
        <w:t>Comportamiento del Sector en Colombia</w:t>
      </w:r>
    </w:p>
    <w:p w14:paraId="0853820A" w14:textId="77777777" w:rsidR="00946160" w:rsidRPr="005F2C03" w:rsidRDefault="00946160" w:rsidP="00946160">
      <w:pPr>
        <w:jc w:val="both"/>
        <w:rPr>
          <w:rFonts w:eastAsia="Batang" w:cs="Arial"/>
        </w:rPr>
      </w:pPr>
    </w:p>
    <w:p w14:paraId="251EF0FB" w14:textId="279E8B52" w:rsidR="00E76556" w:rsidRPr="005F2C03" w:rsidRDefault="00E76556" w:rsidP="00946160">
      <w:pPr>
        <w:jc w:val="both"/>
        <w:rPr>
          <w:rFonts w:eastAsia="Batang" w:cs="Arial"/>
          <w:lang w:val="es-ES"/>
        </w:rPr>
      </w:pPr>
      <w:r w:rsidRPr="005F2C03">
        <w:rPr>
          <w:rFonts w:eastAsia="Batang" w:cs="Arial"/>
        </w:rPr>
        <w:t>A continuación, se presentan gráficos que reflejan cómo se está comportando el mercado de seguros en Colombia.</w:t>
      </w:r>
    </w:p>
    <w:p w14:paraId="2F0FA18E" w14:textId="77777777" w:rsidR="00E76556" w:rsidRPr="005F2C03" w:rsidRDefault="00E76556" w:rsidP="00E76556">
      <w:pPr>
        <w:jc w:val="center"/>
        <w:rPr>
          <w:rFonts w:eastAsia="Arial Narrow" w:cs="Arial"/>
          <w:spacing w:val="1"/>
          <w:sz w:val="18"/>
          <w:szCs w:val="18"/>
        </w:rPr>
      </w:pPr>
      <w:r w:rsidRPr="005F2C03">
        <w:rPr>
          <w:rFonts w:eastAsia="Arial Narrow"/>
          <w:noProof/>
        </w:rPr>
        <w:drawing>
          <wp:inline distT="0" distB="0" distL="0" distR="0" wp14:anchorId="116DCBC8" wp14:editId="3C2F7E2A">
            <wp:extent cx="5612130" cy="3947160"/>
            <wp:effectExtent l="0" t="0" r="0" b="0"/>
            <wp:docPr id="14372812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947160"/>
                    </a:xfrm>
                    <a:prstGeom prst="rect">
                      <a:avLst/>
                    </a:prstGeom>
                    <a:noFill/>
                    <a:ln>
                      <a:noFill/>
                    </a:ln>
                  </pic:spPr>
                </pic:pic>
              </a:graphicData>
            </a:graphic>
          </wp:inline>
        </w:drawing>
      </w:r>
    </w:p>
    <w:p w14:paraId="05B58C4C" w14:textId="77777777" w:rsidR="00E76556" w:rsidRPr="005F2C03" w:rsidRDefault="00E76556" w:rsidP="00E76556">
      <w:pPr>
        <w:jc w:val="center"/>
        <w:rPr>
          <w:rFonts w:eastAsia="Times New Roman" w:cs="Arial"/>
          <w:sz w:val="18"/>
          <w:szCs w:val="18"/>
        </w:rPr>
      </w:pPr>
      <w:r w:rsidRPr="005F2C03">
        <w:rPr>
          <w:rFonts w:cs="Arial"/>
          <w:sz w:val="18"/>
          <w:szCs w:val="18"/>
        </w:rPr>
        <w:t>Fuente: FASECOLDA - Resumen Ejecutivo Abril de 2024</w:t>
      </w:r>
    </w:p>
    <w:p w14:paraId="20D3EC92" w14:textId="77777777" w:rsidR="00E76556" w:rsidRPr="005F2C03" w:rsidRDefault="00E76556" w:rsidP="00E76556">
      <w:pPr>
        <w:jc w:val="center"/>
        <w:rPr>
          <w:rFonts w:cs="Arial"/>
        </w:rPr>
      </w:pPr>
    </w:p>
    <w:p w14:paraId="7D274FE9" w14:textId="77777777" w:rsidR="00E76556" w:rsidRPr="005F2C03" w:rsidRDefault="00E76556" w:rsidP="00E76556">
      <w:pPr>
        <w:jc w:val="both"/>
        <w:rPr>
          <w:rFonts w:eastAsia="Batang" w:cs="Arial"/>
        </w:rPr>
      </w:pPr>
      <w:r w:rsidRPr="005F2C03">
        <w:rPr>
          <w:rFonts w:eastAsia="Batang" w:cs="Arial"/>
        </w:rPr>
        <w:t>En el periodo comprendido a abril de 2024, la industria aseguradora emitió primas que representan un crecimiento del 8.2% frente al mismo período del año anterior.</w:t>
      </w:r>
    </w:p>
    <w:p w14:paraId="6831AAA8" w14:textId="77777777" w:rsidR="00E76556" w:rsidRPr="005F2C03" w:rsidRDefault="00E76556" w:rsidP="00E76556">
      <w:pPr>
        <w:jc w:val="both"/>
        <w:rPr>
          <w:rFonts w:eastAsia="Batang" w:cs="Arial"/>
        </w:rPr>
      </w:pPr>
    </w:p>
    <w:p w14:paraId="546CE98A" w14:textId="77777777" w:rsidR="00E76556" w:rsidRPr="005F2C03" w:rsidRDefault="00E76556" w:rsidP="00E76556">
      <w:pPr>
        <w:jc w:val="both"/>
        <w:rPr>
          <w:rFonts w:eastAsia="Times New Roman" w:cs="Arial"/>
          <w:lang w:eastAsia="zh-CN"/>
        </w:rPr>
      </w:pPr>
      <w:r w:rsidRPr="005F2C03">
        <w:rPr>
          <w:rFonts w:cs="Arial"/>
          <w:lang w:eastAsia="zh-CN"/>
        </w:rPr>
        <w:t>Así las cosas, respecto de las primas emitidas y cuotas recaudadas tenemos que el ramo de generales tuvo una variación positiva del 6% y en vida se evidencia una variación positiva del 10% en comparación con el mes de abril del año inmediatamente anterior.</w:t>
      </w:r>
    </w:p>
    <w:p w14:paraId="71482C4B" w14:textId="77777777" w:rsidR="00E76556" w:rsidRPr="005F2C03" w:rsidRDefault="00E76556" w:rsidP="00E76556">
      <w:pPr>
        <w:jc w:val="center"/>
        <w:rPr>
          <w:rFonts w:cs="Arial"/>
          <w:sz w:val="18"/>
          <w:szCs w:val="18"/>
          <w:lang w:eastAsia="es-ES"/>
        </w:rPr>
      </w:pPr>
      <w:r w:rsidRPr="005F2C03">
        <w:rPr>
          <w:rFonts w:cs="Arial"/>
          <w:noProof/>
          <w:sz w:val="18"/>
          <w:szCs w:val="18"/>
        </w:rPr>
        <w:lastRenderedPageBreak/>
        <w:drawing>
          <wp:inline distT="0" distB="0" distL="0" distR="0" wp14:anchorId="0507E82E" wp14:editId="1006C3B8">
            <wp:extent cx="5612130" cy="2564130"/>
            <wp:effectExtent l="0" t="0" r="0" b="0"/>
            <wp:docPr id="92466645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2564130"/>
                    </a:xfrm>
                    <a:prstGeom prst="rect">
                      <a:avLst/>
                    </a:prstGeom>
                    <a:noFill/>
                    <a:ln>
                      <a:noFill/>
                    </a:ln>
                  </pic:spPr>
                </pic:pic>
              </a:graphicData>
            </a:graphic>
          </wp:inline>
        </w:drawing>
      </w:r>
    </w:p>
    <w:p w14:paraId="78D83F4A"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1B00F870" w14:textId="77777777" w:rsidR="00E76556" w:rsidRPr="005F2C03" w:rsidRDefault="00E76556" w:rsidP="00E76556">
      <w:pPr>
        <w:jc w:val="center"/>
        <w:rPr>
          <w:rFonts w:cs="Arial"/>
          <w:sz w:val="18"/>
          <w:szCs w:val="18"/>
        </w:rPr>
      </w:pPr>
    </w:p>
    <w:p w14:paraId="0F47B296" w14:textId="77777777" w:rsidR="00E76556" w:rsidRPr="005F2C03" w:rsidRDefault="00E76556" w:rsidP="00E76556">
      <w:pPr>
        <w:jc w:val="center"/>
        <w:rPr>
          <w:rFonts w:cs="Arial"/>
          <w:sz w:val="18"/>
          <w:szCs w:val="18"/>
        </w:rPr>
      </w:pPr>
      <w:r w:rsidRPr="005F2C03">
        <w:rPr>
          <w:rFonts w:cs="Arial"/>
          <w:noProof/>
          <w:sz w:val="18"/>
          <w:szCs w:val="18"/>
        </w:rPr>
        <w:drawing>
          <wp:inline distT="0" distB="0" distL="0" distR="0" wp14:anchorId="398A76C5" wp14:editId="207DAA9B">
            <wp:extent cx="5612130" cy="2227580"/>
            <wp:effectExtent l="0" t="0" r="0" b="0"/>
            <wp:docPr id="124240684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227580"/>
                    </a:xfrm>
                    <a:prstGeom prst="rect">
                      <a:avLst/>
                    </a:prstGeom>
                    <a:noFill/>
                    <a:ln>
                      <a:noFill/>
                    </a:ln>
                  </pic:spPr>
                </pic:pic>
              </a:graphicData>
            </a:graphic>
          </wp:inline>
        </w:drawing>
      </w:r>
    </w:p>
    <w:p w14:paraId="4C9AEC6C"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6E6CD375" w14:textId="77777777" w:rsidR="00E76556" w:rsidRPr="005F2C03" w:rsidRDefault="00E76556" w:rsidP="00E76556">
      <w:pPr>
        <w:jc w:val="center"/>
        <w:rPr>
          <w:rFonts w:eastAsia="Aptos" w:cs="Arial"/>
        </w:rPr>
      </w:pPr>
    </w:p>
    <w:p w14:paraId="5FF922BE" w14:textId="77777777" w:rsidR="00E76556" w:rsidRPr="005F2C03" w:rsidRDefault="00E76556" w:rsidP="00E76556">
      <w:pPr>
        <w:spacing w:line="240" w:lineRule="atLeast"/>
        <w:jc w:val="both"/>
        <w:rPr>
          <w:rFonts w:eastAsia="Times New Roman" w:cs="Arial"/>
        </w:rPr>
      </w:pPr>
      <w:r w:rsidRPr="005F2C03">
        <w:rPr>
          <w:rFonts w:cs="Arial"/>
        </w:rPr>
        <w:t>Se observa en las gráficas anteriores que las aseguradoras que encabezan las estadísticas en emisión de primas en seguros generales son Suramericana, La Previsora, Mapfre, Bolívar y Axa Colpatria, evidenciándose que las mencionadas presentaron un incremento a excepción de Bolívar que presentó una disminución respecto al mismo periodo del año inmediatamente anterior.</w:t>
      </w:r>
    </w:p>
    <w:p w14:paraId="73B6BAF2" w14:textId="77777777" w:rsidR="00E76556" w:rsidRPr="005F2C03" w:rsidRDefault="00E76556" w:rsidP="00E76556">
      <w:pPr>
        <w:tabs>
          <w:tab w:val="left" w:pos="5115"/>
        </w:tabs>
        <w:jc w:val="both"/>
        <w:rPr>
          <w:rFonts w:cs="Arial"/>
          <w:sz w:val="18"/>
          <w:szCs w:val="18"/>
        </w:rPr>
      </w:pPr>
      <w:r w:rsidRPr="005F2C03">
        <w:rPr>
          <w:rFonts w:cs="Arial"/>
          <w:lang w:eastAsia="zh-CN"/>
        </w:rPr>
        <w:lastRenderedPageBreak/>
        <w:tab/>
      </w:r>
      <w:r w:rsidRPr="005F2C03">
        <w:rPr>
          <w:rFonts w:cs="Arial"/>
          <w:noProof/>
          <w:lang w:eastAsia="zh-CN"/>
        </w:rPr>
        <w:drawing>
          <wp:inline distT="0" distB="0" distL="0" distR="0" wp14:anchorId="30817DB8" wp14:editId="50030FB0">
            <wp:extent cx="5612130" cy="2756535"/>
            <wp:effectExtent l="0" t="0" r="0" b="0"/>
            <wp:docPr id="71914828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756535"/>
                    </a:xfrm>
                    <a:prstGeom prst="rect">
                      <a:avLst/>
                    </a:prstGeom>
                    <a:noFill/>
                    <a:ln>
                      <a:noFill/>
                    </a:ln>
                  </pic:spPr>
                </pic:pic>
              </a:graphicData>
            </a:graphic>
          </wp:inline>
        </w:drawing>
      </w:r>
    </w:p>
    <w:p w14:paraId="442ED3A5"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537A32FD" w14:textId="77777777" w:rsidR="00E76556" w:rsidRPr="005F2C03" w:rsidRDefault="00E76556" w:rsidP="00E76556">
      <w:pPr>
        <w:jc w:val="center"/>
        <w:rPr>
          <w:rFonts w:cs="Arial"/>
          <w:sz w:val="18"/>
          <w:szCs w:val="18"/>
        </w:rPr>
      </w:pPr>
    </w:p>
    <w:p w14:paraId="1202E9C8" w14:textId="77777777" w:rsidR="00E76556" w:rsidRPr="005F2C03" w:rsidRDefault="00E76556" w:rsidP="00E76556">
      <w:pPr>
        <w:jc w:val="center"/>
        <w:rPr>
          <w:rFonts w:cs="Arial"/>
          <w:sz w:val="18"/>
          <w:szCs w:val="18"/>
        </w:rPr>
      </w:pPr>
      <w:r w:rsidRPr="005F2C03">
        <w:rPr>
          <w:rFonts w:cs="Arial"/>
          <w:noProof/>
          <w:sz w:val="18"/>
          <w:szCs w:val="18"/>
        </w:rPr>
        <w:drawing>
          <wp:inline distT="0" distB="0" distL="0" distR="0" wp14:anchorId="687107A9" wp14:editId="67F2285B">
            <wp:extent cx="5612130" cy="2306320"/>
            <wp:effectExtent l="0" t="0" r="0" b="0"/>
            <wp:docPr id="194287308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306320"/>
                    </a:xfrm>
                    <a:prstGeom prst="rect">
                      <a:avLst/>
                    </a:prstGeom>
                    <a:noFill/>
                    <a:ln>
                      <a:noFill/>
                    </a:ln>
                  </pic:spPr>
                </pic:pic>
              </a:graphicData>
            </a:graphic>
          </wp:inline>
        </w:drawing>
      </w:r>
    </w:p>
    <w:p w14:paraId="14CF5747"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71540C6A" w14:textId="77777777" w:rsidR="00E76556" w:rsidRPr="005F2C03" w:rsidRDefault="00E76556" w:rsidP="00E76556">
      <w:pPr>
        <w:jc w:val="center"/>
        <w:rPr>
          <w:rFonts w:cs="Arial"/>
        </w:rPr>
      </w:pPr>
    </w:p>
    <w:p w14:paraId="406D459B" w14:textId="77777777" w:rsidR="00E76556" w:rsidRPr="005F2C03" w:rsidRDefault="00E76556" w:rsidP="00E76556">
      <w:pPr>
        <w:jc w:val="both"/>
        <w:rPr>
          <w:rFonts w:cs="Arial"/>
        </w:rPr>
      </w:pPr>
      <w:r w:rsidRPr="005F2C03">
        <w:rPr>
          <w:rFonts w:cs="Arial"/>
        </w:rPr>
        <w:t xml:space="preserve">Se observa en las gráficas anteriores que las aseguradoras que encabezan las estadísticas en emisión de primas en seguros vida son Suramericana, Alfa, Bolívar, </w:t>
      </w:r>
      <w:proofErr w:type="spellStart"/>
      <w:r w:rsidRPr="005F2C03">
        <w:rPr>
          <w:rFonts w:cs="Arial"/>
        </w:rPr>
        <w:t>Asulado</w:t>
      </w:r>
      <w:proofErr w:type="spellEnd"/>
      <w:r w:rsidRPr="005F2C03">
        <w:rPr>
          <w:rFonts w:cs="Arial"/>
        </w:rPr>
        <w:t xml:space="preserve"> y Positiva, evidenciándose que Suramericana Alfa, </w:t>
      </w:r>
      <w:proofErr w:type="spellStart"/>
      <w:r w:rsidRPr="005F2C03">
        <w:rPr>
          <w:rFonts w:cs="Arial"/>
        </w:rPr>
        <w:t>Asulado</w:t>
      </w:r>
      <w:proofErr w:type="spellEnd"/>
      <w:r w:rsidRPr="005F2C03">
        <w:rPr>
          <w:rFonts w:cs="Arial"/>
        </w:rPr>
        <w:t xml:space="preserve"> y Positivo, en el cual las mencionadas presentaron un crecimiento en las primas emitidas a excepción de Bolívar que presentó una disminución respecto al mismo periodo del año inmediatamente anterior.</w:t>
      </w:r>
    </w:p>
    <w:p w14:paraId="3B1411F7" w14:textId="77777777" w:rsidR="00E76556" w:rsidRPr="005F2C03" w:rsidRDefault="00E76556" w:rsidP="00E76556">
      <w:pPr>
        <w:jc w:val="center"/>
        <w:rPr>
          <w:rFonts w:cs="Arial"/>
        </w:rPr>
      </w:pPr>
    </w:p>
    <w:p w14:paraId="0C021596" w14:textId="77777777" w:rsidR="00E76556" w:rsidRPr="005F2C03" w:rsidRDefault="00E76556" w:rsidP="00E76556">
      <w:pPr>
        <w:jc w:val="both"/>
        <w:rPr>
          <w:rFonts w:cs="Arial"/>
        </w:rPr>
      </w:pPr>
    </w:p>
    <w:p w14:paraId="4702E1B3" w14:textId="77777777" w:rsidR="00E76556" w:rsidRPr="005F2C03" w:rsidRDefault="00E76556" w:rsidP="00E76556">
      <w:pPr>
        <w:jc w:val="center"/>
        <w:rPr>
          <w:rFonts w:cs="Arial"/>
          <w:sz w:val="18"/>
          <w:szCs w:val="18"/>
        </w:rPr>
      </w:pPr>
      <w:r w:rsidRPr="005F2C03">
        <w:rPr>
          <w:noProof/>
        </w:rPr>
        <w:lastRenderedPageBreak/>
        <w:drawing>
          <wp:inline distT="0" distB="0" distL="0" distR="0" wp14:anchorId="52F274C6" wp14:editId="3A76A520">
            <wp:extent cx="5612130" cy="3684905"/>
            <wp:effectExtent l="0" t="0" r="0" b="0"/>
            <wp:docPr id="26444745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684905"/>
                    </a:xfrm>
                    <a:prstGeom prst="rect">
                      <a:avLst/>
                    </a:prstGeom>
                    <a:noFill/>
                    <a:ln>
                      <a:noFill/>
                    </a:ln>
                  </pic:spPr>
                </pic:pic>
              </a:graphicData>
            </a:graphic>
          </wp:inline>
        </w:drawing>
      </w:r>
    </w:p>
    <w:p w14:paraId="5499716F"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1DA18E43" w14:textId="77777777" w:rsidR="00E76556" w:rsidRPr="005F2C03" w:rsidRDefault="00E76556" w:rsidP="00E76556">
      <w:pPr>
        <w:jc w:val="center"/>
        <w:rPr>
          <w:rFonts w:cs="Arial"/>
        </w:rPr>
      </w:pPr>
    </w:p>
    <w:p w14:paraId="59DB5922" w14:textId="77777777" w:rsidR="00E76556" w:rsidRPr="005F2C03" w:rsidRDefault="00E76556" w:rsidP="00E76556">
      <w:pPr>
        <w:jc w:val="both"/>
        <w:rPr>
          <w:rFonts w:cs="Arial"/>
        </w:rPr>
      </w:pPr>
      <w:r w:rsidRPr="005F2C03">
        <w:rPr>
          <w:rFonts w:cs="Arial"/>
        </w:rPr>
        <w:t xml:space="preserve">De acuerdo con el informe de </w:t>
      </w:r>
      <w:proofErr w:type="spellStart"/>
      <w:r w:rsidRPr="005F2C03">
        <w:rPr>
          <w:rFonts w:cs="Arial"/>
        </w:rPr>
        <w:t>Fasecolda</w:t>
      </w:r>
      <w:proofErr w:type="spellEnd"/>
      <w:r w:rsidRPr="005F2C03">
        <w:rPr>
          <w:rFonts w:cs="Arial"/>
        </w:rPr>
        <w:t>, con corte a Abril de 2024 en la estructura del mercado asegurador se evidencia que la mayor concentración de primas emitidas por ramos se encuentra en los seguros de daños con el 37%, seguido de los ramos de seguridad social con el 30%, los seguros de personas con el 26% y en último lugar se encuentra el SOAT con participación del 7% del total de primas emitidas.</w:t>
      </w:r>
    </w:p>
    <w:p w14:paraId="4EF7616A" w14:textId="77777777" w:rsidR="00E76556" w:rsidRPr="005F2C03" w:rsidRDefault="00E76556" w:rsidP="00E76556">
      <w:pPr>
        <w:jc w:val="both"/>
        <w:rPr>
          <w:rFonts w:cs="Arial"/>
        </w:rPr>
      </w:pPr>
    </w:p>
    <w:p w14:paraId="03610736" w14:textId="77777777" w:rsidR="00E76556" w:rsidRPr="005F2C03" w:rsidRDefault="00E76556" w:rsidP="00E76556">
      <w:pPr>
        <w:jc w:val="both"/>
        <w:rPr>
          <w:rFonts w:cs="Arial"/>
        </w:rPr>
      </w:pPr>
      <w:r w:rsidRPr="005F2C03">
        <w:rPr>
          <w:rFonts w:cs="Arial"/>
        </w:rPr>
        <w:t xml:space="preserve">Ahora bien, en la estructura del mercado asegurador respecto de los seguros de daños, la gráficas muestran que en el porcentaje de distribución está encabezado por el ramo de automóviles con un 34%, seguido del ramo de responsabilidad civil con el 13%, cumplimiento, incendio y lucro cesante con una participación del 10%. </w:t>
      </w:r>
    </w:p>
    <w:p w14:paraId="3C5E6514" w14:textId="77777777" w:rsidR="00E76556" w:rsidRPr="005F2C03" w:rsidRDefault="00E76556" w:rsidP="00E76556">
      <w:pPr>
        <w:jc w:val="both"/>
        <w:rPr>
          <w:rFonts w:cs="Arial"/>
        </w:rPr>
      </w:pPr>
    </w:p>
    <w:p w14:paraId="0C588E87" w14:textId="77777777" w:rsidR="00E76556" w:rsidRPr="005F2C03" w:rsidRDefault="00E76556" w:rsidP="00E76556">
      <w:pPr>
        <w:jc w:val="both"/>
        <w:rPr>
          <w:rFonts w:cs="Arial"/>
        </w:rPr>
      </w:pPr>
      <w:r w:rsidRPr="005F2C03">
        <w:rPr>
          <w:rFonts w:cs="Arial"/>
        </w:rPr>
        <w:t>Y respecto de seguros de personas, la mayor participación la tiene vida grupo y colectivo con un 47%, seguido de salud con una participación del 27% y en tercer lugar accidentes personales con una participación del 12%.</w:t>
      </w:r>
    </w:p>
    <w:p w14:paraId="3C6097DA" w14:textId="77777777" w:rsidR="00E76556" w:rsidRPr="005F2C03" w:rsidRDefault="00E76556" w:rsidP="00E76556">
      <w:pPr>
        <w:jc w:val="center"/>
        <w:rPr>
          <w:rFonts w:cs="Arial"/>
        </w:rPr>
      </w:pPr>
      <w:r w:rsidRPr="005F2C03">
        <w:rPr>
          <w:noProof/>
        </w:rPr>
        <w:lastRenderedPageBreak/>
        <w:drawing>
          <wp:inline distT="0" distB="0" distL="0" distR="0" wp14:anchorId="74A98441" wp14:editId="2643A455">
            <wp:extent cx="5612130" cy="3947160"/>
            <wp:effectExtent l="0" t="0" r="0" b="0"/>
            <wp:docPr id="102295887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947160"/>
                    </a:xfrm>
                    <a:prstGeom prst="rect">
                      <a:avLst/>
                    </a:prstGeom>
                    <a:noFill/>
                    <a:ln>
                      <a:noFill/>
                    </a:ln>
                  </pic:spPr>
                </pic:pic>
              </a:graphicData>
            </a:graphic>
          </wp:inline>
        </w:drawing>
      </w:r>
    </w:p>
    <w:p w14:paraId="60AE529F"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1AA48218" w14:textId="77777777" w:rsidR="00E76556" w:rsidRPr="005F2C03" w:rsidRDefault="00E76556" w:rsidP="00E76556">
      <w:pPr>
        <w:jc w:val="center"/>
        <w:rPr>
          <w:rFonts w:cs="Arial"/>
        </w:rPr>
      </w:pPr>
    </w:p>
    <w:p w14:paraId="341F8E83" w14:textId="77777777" w:rsidR="00E76556" w:rsidRPr="005F2C03" w:rsidRDefault="00E76556" w:rsidP="00E76556">
      <w:pPr>
        <w:jc w:val="both"/>
        <w:rPr>
          <w:rFonts w:cs="Arial"/>
        </w:rPr>
      </w:pPr>
      <w:r w:rsidRPr="005F2C03">
        <w:rPr>
          <w:rFonts w:cs="Arial"/>
        </w:rPr>
        <w:t>Con excepciones en algunos ramos, los pagos a los asegurados por reclamaciones han presentado un incremento del 15.1% más que el mismo periodo del año inmediatamente anterior.</w:t>
      </w:r>
    </w:p>
    <w:p w14:paraId="39AB0F7B" w14:textId="77777777" w:rsidR="00E76556" w:rsidRPr="005F2C03" w:rsidRDefault="00E76556" w:rsidP="00E76556">
      <w:pPr>
        <w:jc w:val="center"/>
        <w:rPr>
          <w:rFonts w:cs="Arial"/>
          <w:b/>
          <w:color w:val="808080"/>
        </w:rPr>
      </w:pPr>
      <w:r w:rsidRPr="005F2C03">
        <w:rPr>
          <w:noProof/>
        </w:rPr>
        <w:lastRenderedPageBreak/>
        <w:drawing>
          <wp:inline distT="0" distB="0" distL="0" distR="0" wp14:anchorId="0C0407F4" wp14:editId="11B1E287">
            <wp:extent cx="5612130" cy="3688080"/>
            <wp:effectExtent l="0" t="0" r="0" b="0"/>
            <wp:docPr id="210385520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88080"/>
                    </a:xfrm>
                    <a:prstGeom prst="rect">
                      <a:avLst/>
                    </a:prstGeom>
                    <a:noFill/>
                    <a:ln>
                      <a:noFill/>
                    </a:ln>
                  </pic:spPr>
                </pic:pic>
              </a:graphicData>
            </a:graphic>
          </wp:inline>
        </w:drawing>
      </w:r>
    </w:p>
    <w:p w14:paraId="727DBDFE" w14:textId="77777777" w:rsidR="00E76556" w:rsidRPr="005F2C03" w:rsidRDefault="00E76556" w:rsidP="00E76556">
      <w:pPr>
        <w:jc w:val="center"/>
        <w:rPr>
          <w:rFonts w:cs="Arial"/>
          <w:sz w:val="18"/>
          <w:szCs w:val="18"/>
        </w:rPr>
      </w:pPr>
      <w:r w:rsidRPr="005F2C03">
        <w:rPr>
          <w:rFonts w:cs="Arial"/>
          <w:sz w:val="18"/>
          <w:szCs w:val="18"/>
        </w:rPr>
        <w:t>Fuente: FASECOLDA - Resumen Ejecutivo Abril de 2024</w:t>
      </w:r>
    </w:p>
    <w:p w14:paraId="5CEEB115" w14:textId="77777777" w:rsidR="00E76556" w:rsidRPr="005F2C03" w:rsidRDefault="00E76556" w:rsidP="00E76556">
      <w:pPr>
        <w:jc w:val="center"/>
        <w:rPr>
          <w:rFonts w:cs="Arial"/>
          <w:bCs/>
        </w:rPr>
      </w:pPr>
    </w:p>
    <w:p w14:paraId="4C0C5D8D" w14:textId="77777777" w:rsidR="00E76556" w:rsidRPr="005F2C03" w:rsidRDefault="00E76556" w:rsidP="00E76556">
      <w:pPr>
        <w:pStyle w:val="Ttulo3"/>
        <w:jc w:val="both"/>
        <w:rPr>
          <w:rFonts w:cs="Arial"/>
          <w:b w:val="0"/>
          <w:bCs/>
          <w:szCs w:val="22"/>
        </w:rPr>
      </w:pPr>
      <w:r w:rsidRPr="005F2C03">
        <w:rPr>
          <w:rFonts w:cs="Arial"/>
          <w:b w:val="0"/>
          <w:bCs/>
          <w:szCs w:val="22"/>
        </w:rPr>
        <w:t>En el resumen de las principales variables del sector se destacan las principales 18 variables así: primas emitidas incremento del 8.2%, cuotas recaudadas disminución del -82.0%, siniestros pagados disminución del 15.1%, valores reconocidos disminución del *85.5% y primas devengadas un aumento del 16.6%, respecto del mismo periodo del año inmediatamente anterior.</w:t>
      </w:r>
    </w:p>
    <w:p w14:paraId="2BDBBB7E" w14:textId="77777777" w:rsidR="00B93191" w:rsidRPr="005F2C03" w:rsidRDefault="00B93191" w:rsidP="00B93191">
      <w:pPr>
        <w:widowControl w:val="0"/>
        <w:tabs>
          <w:tab w:val="left" w:pos="942"/>
        </w:tabs>
        <w:autoSpaceDE w:val="0"/>
        <w:autoSpaceDN w:val="0"/>
        <w:ind w:right="49"/>
        <w:jc w:val="both"/>
        <w:rPr>
          <w:rFonts w:eastAsia="Microsoft Sans Serif"/>
        </w:rPr>
      </w:pPr>
    </w:p>
    <w:p w14:paraId="57A92A3A" w14:textId="77777777" w:rsidR="00B93191" w:rsidRPr="005F2C03" w:rsidRDefault="00B93191" w:rsidP="00C4639A">
      <w:pPr>
        <w:pStyle w:val="Ttulo2"/>
        <w:rPr>
          <w:rFonts w:eastAsia="Calibri" w:cs="Arial"/>
          <w:i/>
          <w:iCs/>
          <w:szCs w:val="22"/>
        </w:rPr>
      </w:pPr>
      <w:bookmarkStart w:id="18" w:name="_Toc160477444"/>
      <w:r w:rsidRPr="005F2C03">
        <w:rPr>
          <w:rFonts w:eastAsia="Calibri" w:cs="Arial"/>
          <w:szCs w:val="22"/>
        </w:rPr>
        <w:t>VARIABLES ECONÓMICAS</w:t>
      </w:r>
      <w:bookmarkEnd w:id="12"/>
      <w:bookmarkEnd w:id="13"/>
      <w:r w:rsidRPr="005F2C03">
        <w:rPr>
          <w:rFonts w:eastAsia="Calibri" w:cs="Arial"/>
          <w:szCs w:val="22"/>
        </w:rPr>
        <w:t xml:space="preserve"> QUE AFECTAN EL SECTOR</w:t>
      </w:r>
      <w:bookmarkEnd w:id="14"/>
      <w:bookmarkEnd w:id="15"/>
      <w:bookmarkEnd w:id="18"/>
    </w:p>
    <w:p w14:paraId="0FC5C844" w14:textId="77777777" w:rsidR="00B93191" w:rsidRPr="005F2C03" w:rsidRDefault="00B93191" w:rsidP="00B93191">
      <w:pPr>
        <w:jc w:val="both"/>
        <w:rPr>
          <w:rFonts w:eastAsia="Calibri"/>
          <w:bCs/>
          <w:iCs/>
        </w:rPr>
      </w:pPr>
    </w:p>
    <w:bookmarkEnd w:id="16"/>
    <w:bookmarkEnd w:id="17"/>
    <w:p w14:paraId="55C10FE7" w14:textId="77777777" w:rsidR="00E76556" w:rsidRPr="005F2C03" w:rsidRDefault="00E76556" w:rsidP="00E76556">
      <w:pPr>
        <w:jc w:val="both"/>
        <w:rPr>
          <w:rFonts w:cs="Arial"/>
          <w:i/>
        </w:rPr>
      </w:pPr>
      <w:r w:rsidRPr="005F2C03">
        <w:rPr>
          <w:rFonts w:cs="Arial"/>
        </w:rPr>
        <w:t>En Colombia, la actividad aseguradora se encuentra avalada por la Constitución Política de Colombia, que en su artículo 335, establece “</w:t>
      </w:r>
      <w:r w:rsidRPr="005F2C03">
        <w:rPr>
          <w:rFonts w:cs="Arial"/>
          <w:i/>
        </w:rPr>
        <w:t>Las actividades financiera, bursátil, aseguradora y cualquier otra relacionada con el manejo, aprovechamiento e inversión de los recursos de captación a las que se refiere el literal d) del numeral 19 del artículo 150 son de interés público y sólo pueden ser ejercidas previa autorización del Estado, conforme a la ley, la cual regulará la forma de intervención del Gobierno en estas materias y promoverá la democratización del crédito”.</w:t>
      </w:r>
    </w:p>
    <w:p w14:paraId="6A8BFFCF" w14:textId="77777777" w:rsidR="00E76556" w:rsidRPr="005F2C03" w:rsidRDefault="00E76556" w:rsidP="00E76556">
      <w:pPr>
        <w:jc w:val="both"/>
        <w:rPr>
          <w:rFonts w:cs="Arial"/>
          <w:i/>
        </w:rPr>
      </w:pPr>
    </w:p>
    <w:p w14:paraId="17E1A1D0" w14:textId="77777777" w:rsidR="00E76556" w:rsidRPr="005F2C03" w:rsidRDefault="00E76556" w:rsidP="00E76556">
      <w:pPr>
        <w:jc w:val="both"/>
        <w:rPr>
          <w:rFonts w:cs="Arial"/>
        </w:rPr>
      </w:pPr>
      <w:r w:rsidRPr="005F2C03">
        <w:rPr>
          <w:rFonts w:cs="Arial"/>
        </w:rPr>
        <w:t xml:space="preserve">Es así como a través de la Superintendencia Financiera de Colombia el Estado ejerce la inspección, vigilancia y control sobre las entidades que desarrollan este tipo de actividad. </w:t>
      </w:r>
    </w:p>
    <w:p w14:paraId="46095478" w14:textId="77777777" w:rsidR="00E76556" w:rsidRPr="005F2C03" w:rsidRDefault="00E76556" w:rsidP="00E76556">
      <w:pPr>
        <w:jc w:val="both"/>
        <w:rPr>
          <w:rFonts w:cs="Arial"/>
        </w:rPr>
      </w:pPr>
    </w:p>
    <w:p w14:paraId="6EFA6A5D" w14:textId="77777777" w:rsidR="00E76556" w:rsidRPr="005F2C03" w:rsidRDefault="00E76556" w:rsidP="00E76556">
      <w:pPr>
        <w:jc w:val="both"/>
        <w:rPr>
          <w:rFonts w:cs="Arial"/>
        </w:rPr>
      </w:pPr>
      <w:r w:rsidRPr="005F2C03">
        <w:rPr>
          <w:rFonts w:cs="Arial"/>
        </w:rPr>
        <w:lastRenderedPageBreak/>
        <w:t>El mercado asegurador se encuentra conformado en diferentes segmentos en los cuales las compañías desarrollan su objeto social, tales como: seguros de daños, seguros de personas, ramos de seguridad social y SOAT.</w:t>
      </w:r>
    </w:p>
    <w:p w14:paraId="17CF6BC5" w14:textId="77777777" w:rsidR="00E76556" w:rsidRPr="005F2C03" w:rsidRDefault="00E76556" w:rsidP="00E76556">
      <w:pPr>
        <w:jc w:val="both"/>
        <w:rPr>
          <w:rFonts w:cs="Arial"/>
        </w:rPr>
      </w:pPr>
    </w:p>
    <w:p w14:paraId="0B663352" w14:textId="77777777" w:rsidR="00E76556" w:rsidRPr="005F2C03" w:rsidRDefault="00E76556" w:rsidP="00E76556">
      <w:pPr>
        <w:jc w:val="both"/>
        <w:rPr>
          <w:rFonts w:cs="Arial"/>
        </w:rPr>
      </w:pPr>
      <w:r w:rsidRPr="005F2C03">
        <w:rPr>
          <w:rFonts w:cs="Arial"/>
        </w:rPr>
        <w:t>Actualmente, se encuentran autorizadas para operar en Colombia 36 compañías de seguros.</w:t>
      </w:r>
    </w:p>
    <w:p w14:paraId="6ACB8097" w14:textId="77777777" w:rsidR="00E76556" w:rsidRPr="005F2C03" w:rsidRDefault="00E76556" w:rsidP="00E76556">
      <w:pPr>
        <w:jc w:val="both"/>
        <w:rPr>
          <w:rFonts w:cs="Arial"/>
        </w:rPr>
      </w:pPr>
    </w:p>
    <w:p w14:paraId="1C111CB7" w14:textId="77777777" w:rsidR="00E76556" w:rsidRPr="005F2C03" w:rsidRDefault="00E76556" w:rsidP="00E76556">
      <w:pPr>
        <w:jc w:val="both"/>
        <w:rPr>
          <w:rFonts w:cs="Arial"/>
        </w:rPr>
      </w:pPr>
      <w:r w:rsidRPr="005F2C03">
        <w:rPr>
          <w:rFonts w:cs="Arial"/>
        </w:rPr>
        <w:t>La Federación de Aseguradores Colombianos - FASECOLDA, es la Entidad gremial sin ánimo de lucro, que representa la actividad del sector asegurador frente a las entidades de vigilancia y control, así como a la sociedad en general. La federación ha liderado el desarrollo del sector de seguros mediante la realización de actividades permanentes, tanto en el ámbito nacional e internacional, y gracias a su compromiso con las empresas afiliadas el gremio.</w:t>
      </w:r>
    </w:p>
    <w:p w14:paraId="578755B2" w14:textId="77777777" w:rsidR="00E76556" w:rsidRPr="005F2C03" w:rsidRDefault="00E76556" w:rsidP="00E76556">
      <w:pPr>
        <w:jc w:val="both"/>
        <w:rPr>
          <w:rFonts w:cs="Arial"/>
        </w:rPr>
      </w:pPr>
    </w:p>
    <w:p w14:paraId="7DEF76DC" w14:textId="77777777" w:rsidR="00E76556" w:rsidRPr="005F2C03" w:rsidRDefault="00E76556" w:rsidP="00E76556">
      <w:pPr>
        <w:jc w:val="both"/>
        <w:rPr>
          <w:rFonts w:cs="Arial"/>
        </w:rPr>
      </w:pPr>
      <w:r w:rsidRPr="005F2C03">
        <w:rPr>
          <w:rFonts w:cs="Arial"/>
        </w:rPr>
        <w:t xml:space="preserve">En especial, está dedicada a impulsar la cultura de los seguros y la modernización de la industria. Para alcanzar este propósito, analiza y recolecta estadísticas generales, así como específicas de los resultados del sector. </w:t>
      </w:r>
    </w:p>
    <w:p w14:paraId="66AFD705" w14:textId="77777777" w:rsidR="00E76556" w:rsidRPr="005F2C03" w:rsidRDefault="00E76556" w:rsidP="00E76556">
      <w:pPr>
        <w:jc w:val="both"/>
        <w:rPr>
          <w:rFonts w:cs="Arial"/>
        </w:rPr>
      </w:pPr>
    </w:p>
    <w:p w14:paraId="02D8D9D3" w14:textId="77777777" w:rsidR="00E76556" w:rsidRPr="005F2C03" w:rsidRDefault="00E76556" w:rsidP="00E76556">
      <w:pPr>
        <w:jc w:val="both"/>
        <w:rPr>
          <w:rFonts w:cs="Arial"/>
        </w:rPr>
      </w:pPr>
      <w:r w:rsidRPr="005F2C03">
        <w:rPr>
          <w:rFonts w:cs="Arial"/>
        </w:rPr>
        <w:t>También, adelanta un seguimiento de aquellos proyectos de ley que se tramitan en el Congreso de la República y que puedan tener incidencia en el sector de seguros, al mismo tiempo que brinda asesoría técnica, jurídica y económica a sus asociados.</w:t>
      </w:r>
    </w:p>
    <w:p w14:paraId="5429228E" w14:textId="77777777" w:rsidR="00E76556" w:rsidRPr="005F2C03" w:rsidRDefault="00E76556" w:rsidP="00E76556">
      <w:pPr>
        <w:jc w:val="both"/>
        <w:rPr>
          <w:rFonts w:cs="Arial"/>
        </w:rPr>
      </w:pPr>
    </w:p>
    <w:p w14:paraId="491F968D" w14:textId="77777777" w:rsidR="00E76556" w:rsidRPr="005F2C03" w:rsidRDefault="00E76556" w:rsidP="00E76556">
      <w:pPr>
        <w:jc w:val="both"/>
        <w:rPr>
          <w:rFonts w:cs="Arial"/>
          <w:lang w:val="es-ES_tradnl"/>
        </w:rPr>
      </w:pPr>
      <w:r w:rsidRPr="005F2C03">
        <w:rPr>
          <w:rFonts w:cs="Arial"/>
          <w:lang w:val="es-ES_tradnl"/>
        </w:rPr>
        <w:t>La economía es un estudio que involucra la asignación, la producción y la distribución de los recursos económicos. Las naciones y los gobiernos prestan mucha atención a los indicadores económicos, ya que estos proporcionan información sobre la contracción o la expansión de una economía. Los indicadores principales son, por lo general, los indicadores económicos más importantes, estos proporcionan información actual que puede predecir los futuros cambios en la economía. Existen varios tipos de indicadores destacados que son utilizados en una economía.</w:t>
      </w:r>
    </w:p>
    <w:p w14:paraId="5BDF7E75" w14:textId="77777777" w:rsidR="00E76556" w:rsidRPr="005F2C03" w:rsidRDefault="00E76556" w:rsidP="00E76556">
      <w:pPr>
        <w:jc w:val="both"/>
        <w:rPr>
          <w:rFonts w:cs="Arial"/>
          <w:lang w:val="es-ES_tradnl"/>
        </w:rPr>
      </w:pPr>
    </w:p>
    <w:p w14:paraId="2803232D" w14:textId="6DB1F0E5" w:rsidR="00E76556" w:rsidRPr="005F2C03" w:rsidRDefault="00E76556" w:rsidP="00E76556">
      <w:pPr>
        <w:jc w:val="both"/>
        <w:rPr>
          <w:rFonts w:cs="Arial"/>
          <w:lang w:val="es-ES_tradnl"/>
        </w:rPr>
      </w:pPr>
      <w:r w:rsidRPr="005F2C03">
        <w:rPr>
          <w:rFonts w:cs="Arial"/>
          <w:lang w:val="es-ES_tradnl"/>
        </w:rPr>
        <w:t>Para el presente estudio vamos a analizar el sector terciario el cual está constituido por todas las actividades económicas cuyo propósito es la producción de los servicios que demanda la población en este caso será “</w:t>
      </w:r>
      <w:r w:rsidR="0004615B" w:rsidRPr="001A7050">
        <w:rPr>
          <w:rFonts w:cs="Arial"/>
          <w:bCs/>
          <w:lang w:val="es-ES" w:eastAsia="ar-SA"/>
        </w:rPr>
        <w:t>SELECCIONAR LA(S) ASEGURADORA(S) CON LA(S) QUE SE CONTRATARÁN LAS PÓLIZAS REQUERIDAS PARA UNA ADECUADA PROTECCIÓN DE LOS INTERESES PATRIMONIALES, DE SUS BIENES Y LOS DE TERCEROS QUE SE ENCUENTREN BAJO CUIDADO, CONTROL Y CUSTODIA DE LA EMPRESA DE LICORES DE CUNDINAMARCA Y CUALQUIER OTRA PÓLIZA DE SEGUROS QUE REQUIERA LA ENTIDAD EN EL DESARROLLO DE SU ACTIVIDAD</w:t>
      </w:r>
      <w:r w:rsidRPr="005F2C03">
        <w:rPr>
          <w:rFonts w:cs="Arial"/>
          <w:i/>
        </w:rPr>
        <w:t>”.</w:t>
      </w:r>
    </w:p>
    <w:p w14:paraId="1B693291" w14:textId="77777777" w:rsidR="00E76556" w:rsidRPr="005F2C03" w:rsidRDefault="00E76556" w:rsidP="00E76556">
      <w:pPr>
        <w:jc w:val="both"/>
        <w:rPr>
          <w:rFonts w:cs="Arial"/>
          <w:lang w:val="es-ES_tradnl"/>
        </w:rPr>
      </w:pPr>
    </w:p>
    <w:p w14:paraId="2DC5A783" w14:textId="77777777" w:rsidR="00E76556" w:rsidRPr="005F2C03" w:rsidRDefault="00E76556" w:rsidP="00E76556">
      <w:pPr>
        <w:jc w:val="both"/>
        <w:rPr>
          <w:rFonts w:cs="Arial"/>
          <w:lang w:val="es-ES_tradnl"/>
        </w:rPr>
      </w:pPr>
      <w:r w:rsidRPr="005F2C03">
        <w:rPr>
          <w:rFonts w:cs="Arial"/>
          <w:lang w:val="es-ES_tradnl"/>
        </w:rPr>
        <w:t>Los patrones de demanda del consumidor están cambiando. Las cadenas de suministro globales están rediseñándose. La intervención de los gobiernos es cada vez más profunda. Así, las empresas deberán adaptarse continuamente a las nuevas e inciertas condiciones del mercado.</w:t>
      </w:r>
    </w:p>
    <w:p w14:paraId="12B82755" w14:textId="77777777" w:rsidR="00E76556" w:rsidRPr="005F2C03" w:rsidRDefault="00E76556" w:rsidP="00E76556">
      <w:pPr>
        <w:jc w:val="both"/>
        <w:rPr>
          <w:rFonts w:cs="Arial"/>
          <w:lang w:val="es-ES_tradnl"/>
        </w:rPr>
      </w:pPr>
    </w:p>
    <w:p w14:paraId="5F9F73B7" w14:textId="4CA111E9" w:rsidR="00E76556" w:rsidRPr="005F2C03" w:rsidRDefault="00946160" w:rsidP="00E76556">
      <w:pPr>
        <w:jc w:val="both"/>
        <w:rPr>
          <w:rFonts w:cs="Arial"/>
          <w:lang w:val="es-ES_tradnl"/>
        </w:rPr>
      </w:pPr>
      <w:r w:rsidRPr="005F2C03">
        <w:rPr>
          <w:rFonts w:cs="Arial"/>
          <w:lang w:val="es-ES_tradnl"/>
        </w:rPr>
        <w:t xml:space="preserve">Igualmente debe tenerse en cuenta que el </w:t>
      </w:r>
      <w:r w:rsidR="00E76556" w:rsidRPr="005F2C03">
        <w:rPr>
          <w:rFonts w:cs="Arial"/>
          <w:lang w:val="es-ES_tradnl"/>
        </w:rPr>
        <w:t xml:space="preserve">mercado reasegurador marca de alguna manera el derrotero del sector asegurador nacional e internacional, especialmente cuando se trata de productos o pólizas especializadas, como suelen ser, las de Responsabilidad Civil Servidores Públicos, de Infidelidad y Riesgos Financieros, de Aviación, entre otros, puesto que son los reaseguradores quienes finalmente asumen el riesgo y por tanto son los que establecen las condiciones técnicas de cobertura y precio. </w:t>
      </w:r>
    </w:p>
    <w:p w14:paraId="03272AD8" w14:textId="77777777" w:rsidR="00E76556" w:rsidRPr="005F2C03" w:rsidRDefault="00E76556" w:rsidP="00E76556">
      <w:pPr>
        <w:jc w:val="both"/>
        <w:rPr>
          <w:rFonts w:cs="Arial"/>
          <w:lang w:val="es-ES_tradnl"/>
        </w:rPr>
      </w:pPr>
    </w:p>
    <w:p w14:paraId="10A36182" w14:textId="77777777" w:rsidR="00E76556" w:rsidRPr="005F2C03" w:rsidRDefault="00E76556" w:rsidP="00E76556">
      <w:pPr>
        <w:jc w:val="both"/>
        <w:rPr>
          <w:rFonts w:cs="Arial"/>
          <w:lang w:val="es-ES_tradnl"/>
        </w:rPr>
      </w:pPr>
      <w:r w:rsidRPr="005F2C03">
        <w:rPr>
          <w:rFonts w:cs="Arial"/>
          <w:lang w:val="es-ES_tradnl"/>
        </w:rPr>
        <w:t>A manera de ejemplo, podemos citar, que actualmente en razón de medidas de intervención gubernamentales y malos resultados técnicos de las aseguradoras en las pólizas de Responsabilidad Civil Servidores Públicos, el sector reasegurador no tiene interés alguno en respaldar al sector asegurador en la suscripción de este tipo de pólizas, lo que ha creado un clima de incertidumbre y ha elevado sustancialmente los costos de las primas, mientras que simultáneamente ha limitado notoriamente las coberturas, haciéndolas poco eficaces.</w:t>
      </w:r>
    </w:p>
    <w:p w14:paraId="66E0852E" w14:textId="77777777" w:rsidR="00E76556" w:rsidRPr="005F2C03" w:rsidRDefault="00E76556" w:rsidP="00E76556">
      <w:pPr>
        <w:jc w:val="both"/>
        <w:rPr>
          <w:rFonts w:cs="Arial"/>
          <w:lang w:val="es-ES_tradnl"/>
        </w:rPr>
      </w:pPr>
    </w:p>
    <w:p w14:paraId="4E621518" w14:textId="77777777" w:rsidR="00E76556" w:rsidRPr="005F2C03" w:rsidRDefault="00E76556" w:rsidP="00E76556">
      <w:pPr>
        <w:jc w:val="both"/>
        <w:rPr>
          <w:rFonts w:cs="Arial"/>
          <w:lang w:val="es-ES_tradnl"/>
        </w:rPr>
      </w:pPr>
      <w:r w:rsidRPr="005F2C03">
        <w:rPr>
          <w:rFonts w:cs="Arial"/>
          <w:lang w:val="es-ES_tradnl"/>
        </w:rPr>
        <w:t>En las pólizas que individualmente no tienen grandes valores, ni resultan complejas por su naturaleza, el reaseguro tiene menos influencia frente a las políticas y manejo que implementan las aseguradoras en su estructuración, mercadeo y manejo operativo, puesto que gran parte del riesgo es asumido por ellas mismas y solo una pequeña parte lo colocan en reaseguro. Entre este tipo de pólizas, se pueden citar, las pólizas de automóviles, incendio hogar, vida grupo, transporte de mercancías, entre otros.</w:t>
      </w:r>
    </w:p>
    <w:p w14:paraId="23D01C54" w14:textId="77777777" w:rsidR="00E76556" w:rsidRPr="005F2C03" w:rsidRDefault="00E76556" w:rsidP="00E76556">
      <w:pPr>
        <w:jc w:val="both"/>
        <w:rPr>
          <w:rFonts w:cs="Arial"/>
          <w:lang w:val="es-ES_tradnl"/>
        </w:rPr>
      </w:pPr>
    </w:p>
    <w:p w14:paraId="01DB777E" w14:textId="77777777" w:rsidR="00E76556" w:rsidRPr="005F2C03" w:rsidRDefault="00E76556" w:rsidP="00E76556">
      <w:pPr>
        <w:jc w:val="both"/>
        <w:rPr>
          <w:rFonts w:cs="Arial"/>
          <w:lang w:val="es-ES_tradnl"/>
        </w:rPr>
      </w:pPr>
      <w:r w:rsidRPr="005F2C03">
        <w:rPr>
          <w:rFonts w:cs="Arial"/>
          <w:lang w:val="es-ES_tradnl"/>
        </w:rPr>
        <w:t>Bien se trate de riesgos catastróficos o de exposiciones provenientes de riesgos individuales, la primera función del reaseguro es la de otorgar una protección a los estados financieros de los aseguradores, pues en virtud de la transferencia de riesgos, las cedentes conservan sobre su patrimonio solo los que guarden relación con su solidez patrimonial.</w:t>
      </w:r>
    </w:p>
    <w:p w14:paraId="5B83E05B" w14:textId="77777777" w:rsidR="00E76556" w:rsidRPr="005F2C03" w:rsidRDefault="00E76556" w:rsidP="00E76556">
      <w:pPr>
        <w:jc w:val="both"/>
        <w:rPr>
          <w:rFonts w:cs="Arial"/>
          <w:lang w:val="es-ES_tradnl"/>
        </w:rPr>
      </w:pPr>
    </w:p>
    <w:p w14:paraId="6D42FD1E" w14:textId="77777777" w:rsidR="00E76556" w:rsidRPr="005F2C03" w:rsidRDefault="00E76556" w:rsidP="00E76556">
      <w:pPr>
        <w:jc w:val="both"/>
        <w:rPr>
          <w:rFonts w:cs="Arial"/>
          <w:lang w:val="es-ES_tradnl"/>
        </w:rPr>
      </w:pPr>
      <w:r w:rsidRPr="005F2C03">
        <w:rPr>
          <w:rFonts w:cs="Arial"/>
          <w:lang w:val="es-ES_tradnl"/>
        </w:rPr>
        <w:t>El reaseguro es también un sistema idóneo para que los aseguradores puedan lograr la uniformidad cuantitativa de sus carteras, cediendo los picos de estas y reteniendo los riesgos de magnitud similar. En esta forma se controla la volatilidad en los resultados permitiendo que los principios técnicos y cálculos estadísticos operen adecuadamente sin exponer los portafolios a desviaciones indeseables.</w:t>
      </w:r>
    </w:p>
    <w:p w14:paraId="3DF5549F" w14:textId="77777777" w:rsidR="00E76556" w:rsidRPr="005F2C03" w:rsidRDefault="00E76556" w:rsidP="00E76556">
      <w:pPr>
        <w:jc w:val="both"/>
        <w:rPr>
          <w:rFonts w:cs="Arial"/>
          <w:lang w:val="es-ES_tradnl"/>
        </w:rPr>
      </w:pPr>
    </w:p>
    <w:p w14:paraId="07BC20D2" w14:textId="77777777" w:rsidR="00E76556" w:rsidRPr="005F2C03" w:rsidRDefault="00E76556" w:rsidP="00E76556">
      <w:pPr>
        <w:jc w:val="both"/>
        <w:rPr>
          <w:rFonts w:cs="Arial"/>
          <w:lang w:val="es-ES_tradnl"/>
        </w:rPr>
      </w:pPr>
      <w:r w:rsidRPr="005F2C03">
        <w:rPr>
          <w:rFonts w:cs="Arial"/>
          <w:lang w:val="es-ES_tradnl"/>
        </w:rPr>
        <w:t>En este sentido, el reaseguro opera como un sistema vertical de trasferencia de riesgos nivelando los valores asegurados expuestos, haciendo posible la uniformidad cuantitativa de la cartera y, al mismo tiempo, facilitando al asegurador emitir pólizas con valores asegurados cuantiosos que bien podrían superar su propio patrimonio.</w:t>
      </w:r>
    </w:p>
    <w:p w14:paraId="5743CF96" w14:textId="77777777" w:rsidR="00E76556" w:rsidRPr="005F2C03" w:rsidRDefault="00E76556" w:rsidP="00E76556">
      <w:pPr>
        <w:jc w:val="both"/>
        <w:rPr>
          <w:rFonts w:cs="Arial"/>
          <w:lang w:val="es-ES_tradnl"/>
        </w:rPr>
      </w:pPr>
    </w:p>
    <w:p w14:paraId="5F7F8947" w14:textId="77777777" w:rsidR="00E76556" w:rsidRPr="005F2C03" w:rsidRDefault="00E76556" w:rsidP="00E76556">
      <w:pPr>
        <w:jc w:val="both"/>
        <w:rPr>
          <w:rFonts w:cs="Arial"/>
          <w:lang w:val="es-ES_tradnl"/>
        </w:rPr>
      </w:pPr>
      <w:r w:rsidRPr="005F2C03">
        <w:rPr>
          <w:rFonts w:cs="Arial"/>
          <w:lang w:val="es-ES_tradnl"/>
        </w:rPr>
        <w:t>El reaseguro es también el instrumento más idóneo que posee el asegurador para lograr la uniformidad cualitativa. Si por ejemplo un asegurador tuviera una cartera concertada en uno o algunos ramos y de repente estuviera abocado a expedir una póliza de una línea distinta a las propias de su experiencia, podría hacerlo sin arriesgar su patrimonio, cediendo este riesgo al reasegurador.</w:t>
      </w:r>
    </w:p>
    <w:p w14:paraId="3AC25630" w14:textId="77777777" w:rsidR="00E76556" w:rsidRPr="005F2C03" w:rsidRDefault="00E76556" w:rsidP="00E76556">
      <w:pPr>
        <w:jc w:val="both"/>
        <w:rPr>
          <w:rFonts w:cs="Arial"/>
          <w:lang w:val="es-ES_tradnl"/>
        </w:rPr>
      </w:pPr>
    </w:p>
    <w:p w14:paraId="4C7150C5" w14:textId="77777777" w:rsidR="00E76556" w:rsidRPr="005F2C03" w:rsidRDefault="00E76556" w:rsidP="00E76556">
      <w:pPr>
        <w:jc w:val="both"/>
        <w:rPr>
          <w:rFonts w:cs="Arial"/>
          <w:lang w:val="es-ES_tradnl"/>
        </w:rPr>
      </w:pPr>
      <w:r w:rsidRPr="005F2C03">
        <w:rPr>
          <w:rFonts w:cs="Arial"/>
          <w:lang w:val="es-ES_tradnl"/>
        </w:rPr>
        <w:t>Por lo anterior se analizaron los principales indicadores macroeconómicos que demuestran la participación del sector de seguros en Colombia.</w:t>
      </w:r>
    </w:p>
    <w:p w14:paraId="729EE96A" w14:textId="77777777" w:rsidR="00CF73E5" w:rsidRPr="005F2C03" w:rsidRDefault="00CF73E5" w:rsidP="00E76556">
      <w:pPr>
        <w:jc w:val="both"/>
        <w:rPr>
          <w:rFonts w:cs="Arial"/>
          <w:lang w:val="es-ES_tradnl"/>
        </w:rPr>
      </w:pPr>
    </w:p>
    <w:p w14:paraId="64781FC9" w14:textId="77777777" w:rsidR="00CF73E5" w:rsidRPr="005F2C03" w:rsidRDefault="00CF73E5" w:rsidP="00E76556">
      <w:pPr>
        <w:jc w:val="both"/>
        <w:rPr>
          <w:rFonts w:cs="Arial"/>
          <w:lang w:val="es-ES_tradnl"/>
        </w:rPr>
      </w:pPr>
    </w:p>
    <w:p w14:paraId="0F7679F2" w14:textId="77777777" w:rsidR="00CF73E5" w:rsidRPr="005F2C03" w:rsidRDefault="00CF73E5" w:rsidP="00E76556">
      <w:pPr>
        <w:jc w:val="both"/>
        <w:rPr>
          <w:rFonts w:cs="Arial"/>
          <w:lang w:val="es-ES_tradnl"/>
        </w:rPr>
      </w:pPr>
    </w:p>
    <w:p w14:paraId="25F766D3" w14:textId="77777777" w:rsidR="00CF73E5" w:rsidRPr="005F2C03" w:rsidRDefault="00CF73E5" w:rsidP="00E76556">
      <w:pPr>
        <w:jc w:val="both"/>
        <w:rPr>
          <w:rFonts w:cs="Arial"/>
          <w:lang w:val="es-ES_tradnl"/>
        </w:rPr>
      </w:pPr>
    </w:p>
    <w:p w14:paraId="32346D89" w14:textId="77777777" w:rsidR="00E76556" w:rsidRPr="005F2C03" w:rsidRDefault="00E76556" w:rsidP="00E76556">
      <w:pPr>
        <w:jc w:val="both"/>
        <w:rPr>
          <w:rFonts w:cs="Arial"/>
        </w:rPr>
      </w:pPr>
    </w:p>
    <w:p w14:paraId="205ADDB0" w14:textId="77777777" w:rsidR="00E76556" w:rsidRPr="005F2C03" w:rsidRDefault="00E76556">
      <w:pPr>
        <w:numPr>
          <w:ilvl w:val="0"/>
          <w:numId w:val="7"/>
        </w:numPr>
        <w:jc w:val="both"/>
        <w:rPr>
          <w:rFonts w:cs="Arial"/>
          <w:b/>
          <w:bCs/>
          <w:lang w:val="es-ES_tradnl"/>
        </w:rPr>
      </w:pPr>
      <w:r w:rsidRPr="005F2C03">
        <w:rPr>
          <w:rFonts w:cs="Arial"/>
          <w:b/>
          <w:bCs/>
          <w:lang w:val="es-ES_tradnl"/>
        </w:rPr>
        <w:t>Producto Interno Bruto</w:t>
      </w:r>
      <w:r w:rsidRPr="005F2C03">
        <w:rPr>
          <w:rFonts w:cs="Arial"/>
          <w:b/>
          <w:bCs/>
          <w:vertAlign w:val="superscript"/>
          <w:lang w:val="es-ES_tradnl"/>
        </w:rPr>
        <w:footnoteReference w:id="6"/>
      </w:r>
    </w:p>
    <w:p w14:paraId="58F77643" w14:textId="77777777" w:rsidR="00E76556" w:rsidRPr="005F2C03" w:rsidRDefault="00E76556" w:rsidP="00E76556">
      <w:pPr>
        <w:jc w:val="both"/>
        <w:rPr>
          <w:rFonts w:cs="Arial"/>
          <w:lang w:val="es-ES_tradnl"/>
        </w:rPr>
      </w:pPr>
    </w:p>
    <w:p w14:paraId="2880D390" w14:textId="77777777" w:rsidR="00E76556" w:rsidRPr="005F2C03" w:rsidRDefault="00E76556" w:rsidP="00E76556">
      <w:pPr>
        <w:ind w:left="306"/>
        <w:jc w:val="both"/>
        <w:rPr>
          <w:rFonts w:cs="Arial"/>
          <w:bCs/>
          <w:lang w:val="es-ES"/>
        </w:rPr>
      </w:pPr>
      <w:r w:rsidRPr="005F2C03">
        <w:rPr>
          <w:rFonts w:cs="Arial"/>
          <w:bCs/>
        </w:rPr>
        <w:t>En el primer trimestre de 2024, el Producto Interno Bruto en su serie original, crece 0,7% respecto al mismo periodo de 2023.</w:t>
      </w:r>
    </w:p>
    <w:p w14:paraId="71411260" w14:textId="77777777" w:rsidR="00E76556" w:rsidRPr="005F2C03" w:rsidRDefault="00E76556" w:rsidP="00E76556">
      <w:pPr>
        <w:ind w:left="306"/>
        <w:jc w:val="both"/>
        <w:rPr>
          <w:rFonts w:cs="Arial"/>
          <w:bCs/>
        </w:rPr>
      </w:pPr>
    </w:p>
    <w:p w14:paraId="686AEF9F" w14:textId="77777777" w:rsidR="00E76556" w:rsidRPr="005F2C03" w:rsidRDefault="00E76556" w:rsidP="00CF73E5">
      <w:pPr>
        <w:ind w:left="306"/>
        <w:jc w:val="center"/>
        <w:rPr>
          <w:rFonts w:cs="Arial"/>
          <w:b/>
          <w:sz w:val="18"/>
          <w:szCs w:val="18"/>
          <w:lang w:val="es-MX"/>
        </w:rPr>
      </w:pPr>
      <w:r w:rsidRPr="005F2C03">
        <w:rPr>
          <w:rFonts w:cs="Arial"/>
          <w:b/>
          <w:noProof/>
          <w:sz w:val="18"/>
          <w:szCs w:val="18"/>
          <w:lang w:val="es-MX"/>
        </w:rPr>
        <w:drawing>
          <wp:inline distT="0" distB="0" distL="0" distR="0" wp14:anchorId="6248A658" wp14:editId="18225FC1">
            <wp:extent cx="5612130" cy="2317750"/>
            <wp:effectExtent l="0" t="0" r="0" b="0"/>
            <wp:docPr id="89485759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317750"/>
                    </a:xfrm>
                    <a:prstGeom prst="rect">
                      <a:avLst/>
                    </a:prstGeom>
                    <a:noFill/>
                    <a:ln>
                      <a:noFill/>
                    </a:ln>
                  </pic:spPr>
                </pic:pic>
              </a:graphicData>
            </a:graphic>
          </wp:inline>
        </w:drawing>
      </w:r>
    </w:p>
    <w:p w14:paraId="6977A59D" w14:textId="77777777" w:rsidR="00E76556" w:rsidRPr="005F2C03" w:rsidRDefault="00E76556" w:rsidP="00E76556">
      <w:pPr>
        <w:ind w:left="306"/>
        <w:jc w:val="center"/>
        <w:rPr>
          <w:rFonts w:cs="Arial"/>
          <w:sz w:val="18"/>
          <w:szCs w:val="18"/>
          <w:lang w:val="es-ES"/>
        </w:rPr>
      </w:pPr>
      <w:r w:rsidRPr="005F2C03">
        <w:rPr>
          <w:rFonts w:cs="Arial"/>
          <w:sz w:val="18"/>
          <w:szCs w:val="18"/>
        </w:rPr>
        <w:t>Fuente: DANE – Boletín técnico del 15 de mayo de 2024 - Producto Interno Bruto (PIB)</w:t>
      </w:r>
    </w:p>
    <w:p w14:paraId="2E1965BB" w14:textId="77777777" w:rsidR="00E76556" w:rsidRPr="005F2C03" w:rsidRDefault="00E76556" w:rsidP="00E76556">
      <w:pPr>
        <w:ind w:left="306"/>
        <w:jc w:val="center"/>
        <w:rPr>
          <w:rFonts w:cs="Arial"/>
        </w:rPr>
      </w:pPr>
    </w:p>
    <w:p w14:paraId="1F608DC7" w14:textId="77777777" w:rsidR="00E76556" w:rsidRPr="005F2C03" w:rsidRDefault="00E76556" w:rsidP="00E76556">
      <w:pPr>
        <w:pStyle w:val="Prrafodelista"/>
        <w:ind w:left="0"/>
        <w:jc w:val="both"/>
        <w:rPr>
          <w:rFonts w:cs="Arial"/>
        </w:rPr>
      </w:pPr>
      <w:r w:rsidRPr="005F2C03">
        <w:rPr>
          <w:rFonts w:cs="Arial"/>
        </w:rPr>
        <w:t xml:space="preserve">En el primer trimestre de 2024, el Producto Interno Bruto en su serie original, crece 0,7% respecto al mismo periodo de 2023pr (ver tabla 1). Las actividades económicas que más contribuyen a la dinámica del valor agregado son: </w:t>
      </w:r>
    </w:p>
    <w:p w14:paraId="562BD2C6" w14:textId="77777777" w:rsidR="00E76556" w:rsidRPr="005F2C03" w:rsidRDefault="00E76556" w:rsidP="00E76556">
      <w:pPr>
        <w:pStyle w:val="Prrafodelista"/>
        <w:ind w:left="0"/>
        <w:jc w:val="both"/>
        <w:rPr>
          <w:rFonts w:cs="Arial"/>
        </w:rPr>
      </w:pPr>
    </w:p>
    <w:p w14:paraId="6A41DAB5" w14:textId="77777777" w:rsidR="00E76556" w:rsidRPr="005F2C03" w:rsidRDefault="00E76556" w:rsidP="00E76556">
      <w:pPr>
        <w:pStyle w:val="Prrafodelista"/>
        <w:ind w:left="284" w:hanging="142"/>
        <w:jc w:val="both"/>
        <w:rPr>
          <w:rFonts w:cs="Arial"/>
        </w:rPr>
      </w:pPr>
      <w:r w:rsidRPr="005F2C03">
        <w:rPr>
          <w:rFonts w:cs="Arial"/>
        </w:rPr>
        <w:t xml:space="preserve">• Administración pública y defensa; planes de seguridad social de afiliación obligatoria; Educación; Actividades de atención de la salud humana y de servicios sociales crece 5,3% (contribuye 0,7 puntos porcentuales a la variación anual). </w:t>
      </w:r>
    </w:p>
    <w:p w14:paraId="7B70375A" w14:textId="77777777" w:rsidR="00E76556" w:rsidRPr="005F2C03" w:rsidRDefault="00E76556" w:rsidP="00E76556">
      <w:pPr>
        <w:pStyle w:val="Prrafodelista"/>
        <w:ind w:left="284" w:hanging="142"/>
        <w:jc w:val="both"/>
        <w:rPr>
          <w:rFonts w:cs="Arial"/>
        </w:rPr>
      </w:pPr>
      <w:r w:rsidRPr="005F2C03">
        <w:rPr>
          <w:rFonts w:cs="Arial"/>
        </w:rPr>
        <w:t xml:space="preserve">• Agricultura, ganadería, caza, silvicultura y pesca crece 5,5% (contribuye 0,5 puntos porcentuales a la variación anual). </w:t>
      </w:r>
    </w:p>
    <w:p w14:paraId="1B088397" w14:textId="77777777" w:rsidR="00E76556" w:rsidRPr="005F2C03" w:rsidRDefault="00E76556" w:rsidP="00E76556">
      <w:pPr>
        <w:pStyle w:val="Prrafodelista"/>
        <w:ind w:left="284" w:hanging="142"/>
        <w:jc w:val="both"/>
        <w:rPr>
          <w:rFonts w:cs="Arial"/>
        </w:rPr>
      </w:pPr>
      <w:r w:rsidRPr="005F2C03">
        <w:rPr>
          <w:rFonts w:cs="Arial"/>
        </w:rPr>
        <w:t xml:space="preserve">• Suministro de electricidad, gas, vapor y aire acondicionado; Distribución de agua; evacuación y tratamiento de aguas residuales, gestión de desechos y actividades de saneamiento ambiental crece 4,5% (contribuye 0,2 puntos porcentuales a la variación anual). </w:t>
      </w:r>
    </w:p>
    <w:p w14:paraId="30ACF021" w14:textId="77777777" w:rsidR="00E76556" w:rsidRPr="005F2C03" w:rsidRDefault="00E76556" w:rsidP="00E76556">
      <w:pPr>
        <w:pStyle w:val="Prrafodelista"/>
        <w:ind w:left="0"/>
        <w:jc w:val="both"/>
        <w:rPr>
          <w:rFonts w:cs="Arial"/>
        </w:rPr>
      </w:pPr>
    </w:p>
    <w:p w14:paraId="7584E545" w14:textId="77777777" w:rsidR="00E76556" w:rsidRPr="005F2C03" w:rsidRDefault="00E76556" w:rsidP="00E76556">
      <w:pPr>
        <w:pStyle w:val="Prrafodelista"/>
        <w:ind w:left="0"/>
        <w:jc w:val="both"/>
        <w:rPr>
          <w:rFonts w:cs="Arial"/>
        </w:rPr>
      </w:pPr>
      <w:r w:rsidRPr="005F2C03">
        <w:rPr>
          <w:rFonts w:cs="Arial"/>
        </w:rPr>
        <w:t xml:space="preserve">Respecto al trimestre inmediatamente anterior, el Producto Interno Bruto en su serie ajustada por efecto estacional y calendario crece 1,1%. Cuando se observa el comportamiento de las actividades económicas relacionadas: </w:t>
      </w:r>
    </w:p>
    <w:p w14:paraId="065C8C9E" w14:textId="77777777" w:rsidR="00E76556" w:rsidRPr="005F2C03" w:rsidRDefault="00E76556" w:rsidP="00E76556">
      <w:pPr>
        <w:pStyle w:val="Prrafodelista"/>
        <w:ind w:left="0"/>
        <w:jc w:val="both"/>
        <w:rPr>
          <w:rFonts w:cs="Arial"/>
        </w:rPr>
      </w:pPr>
    </w:p>
    <w:p w14:paraId="278B4950" w14:textId="77777777" w:rsidR="00E76556" w:rsidRPr="005F2C03" w:rsidRDefault="00E76556" w:rsidP="00E76556">
      <w:pPr>
        <w:pStyle w:val="Prrafodelista"/>
        <w:ind w:left="284" w:hanging="142"/>
        <w:jc w:val="both"/>
        <w:rPr>
          <w:rFonts w:cs="Arial"/>
        </w:rPr>
      </w:pPr>
      <w:r w:rsidRPr="005F2C03">
        <w:rPr>
          <w:rFonts w:cs="Arial"/>
        </w:rPr>
        <w:t xml:space="preserve">• Actividades artísticas, de entretenimiento y recreación y otras actividades de servicios; Actividades de los hogares individuales en calidad de empleadores; actividades no diferenciadas de los hogares individuales como productores de bienes y servicios para uso propio crece 3,7%. </w:t>
      </w:r>
    </w:p>
    <w:p w14:paraId="25885995" w14:textId="77777777" w:rsidR="00E76556" w:rsidRPr="005F2C03" w:rsidRDefault="00E76556" w:rsidP="00E76556">
      <w:pPr>
        <w:pStyle w:val="Prrafodelista"/>
        <w:ind w:left="284" w:hanging="142"/>
        <w:jc w:val="both"/>
        <w:rPr>
          <w:rFonts w:cs="Arial"/>
        </w:rPr>
      </w:pPr>
      <w:r w:rsidRPr="005F2C03">
        <w:rPr>
          <w:rFonts w:cs="Arial"/>
        </w:rPr>
        <w:t xml:space="preserve">• Administración pública y defensa; planes de seguridad social de afiliación obligatoria; Educación; Actividades de atención de la salud humana y de servicios sociales crece 2,0%. </w:t>
      </w:r>
    </w:p>
    <w:p w14:paraId="7AE16298" w14:textId="77777777" w:rsidR="00E76556" w:rsidRPr="005F2C03" w:rsidRDefault="00E76556" w:rsidP="00E76556">
      <w:pPr>
        <w:pStyle w:val="Prrafodelista"/>
        <w:ind w:left="284" w:hanging="142"/>
        <w:jc w:val="both"/>
        <w:rPr>
          <w:rFonts w:cs="Arial"/>
        </w:rPr>
      </w:pPr>
      <w:r w:rsidRPr="005F2C03">
        <w:rPr>
          <w:rFonts w:cs="Arial"/>
        </w:rPr>
        <w:lastRenderedPageBreak/>
        <w:t>• Suministro de electricidad, gas, vapor y aire acondicionado; Distribución de agua; evacuación y tratamiento de aguas residuales, gestión de desechos y actividades de saneamiento ambiental crece 1,9%.</w:t>
      </w:r>
    </w:p>
    <w:p w14:paraId="33906DA3" w14:textId="77777777" w:rsidR="00E76556" w:rsidRPr="005F2C03" w:rsidRDefault="00E76556" w:rsidP="00E76556">
      <w:pPr>
        <w:pStyle w:val="Prrafodelista"/>
        <w:ind w:left="284" w:hanging="142"/>
        <w:jc w:val="both"/>
        <w:rPr>
          <w:rFonts w:cs="Arial"/>
        </w:rPr>
      </w:pPr>
    </w:p>
    <w:p w14:paraId="46CAC8FA" w14:textId="77777777" w:rsidR="00E76556" w:rsidRPr="005F2C03" w:rsidRDefault="00E76556" w:rsidP="00E76556">
      <w:pPr>
        <w:pStyle w:val="Prrafodelista"/>
        <w:ind w:left="284" w:hanging="142"/>
        <w:jc w:val="center"/>
        <w:rPr>
          <w:rFonts w:cs="Arial"/>
        </w:rPr>
      </w:pPr>
      <w:r w:rsidRPr="005F2C03">
        <w:rPr>
          <w:rFonts w:cs="Arial"/>
          <w:noProof/>
        </w:rPr>
        <w:drawing>
          <wp:inline distT="0" distB="0" distL="0" distR="0" wp14:anchorId="79C02429" wp14:editId="5B3829CF">
            <wp:extent cx="4514850" cy="3371850"/>
            <wp:effectExtent l="0" t="0" r="0" b="0"/>
            <wp:docPr id="138301453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371850"/>
                    </a:xfrm>
                    <a:prstGeom prst="rect">
                      <a:avLst/>
                    </a:prstGeom>
                    <a:noFill/>
                    <a:ln>
                      <a:noFill/>
                    </a:ln>
                  </pic:spPr>
                </pic:pic>
              </a:graphicData>
            </a:graphic>
          </wp:inline>
        </w:drawing>
      </w:r>
    </w:p>
    <w:p w14:paraId="6C8CF296" w14:textId="77777777" w:rsidR="00E76556" w:rsidRPr="005F2C03" w:rsidRDefault="00E76556" w:rsidP="00E76556">
      <w:pPr>
        <w:ind w:left="306"/>
        <w:jc w:val="center"/>
        <w:rPr>
          <w:rFonts w:cs="Arial"/>
          <w:sz w:val="18"/>
          <w:szCs w:val="18"/>
        </w:rPr>
      </w:pPr>
      <w:r w:rsidRPr="005F2C03">
        <w:rPr>
          <w:rFonts w:cs="Arial"/>
          <w:sz w:val="18"/>
          <w:szCs w:val="18"/>
        </w:rPr>
        <w:t>Fuente: DANE – Boletín técnico del 15 de mayo de 2024 - Producto Interno Bruto (PIB)</w:t>
      </w:r>
    </w:p>
    <w:p w14:paraId="7643678A" w14:textId="77777777" w:rsidR="00E76556" w:rsidRPr="005F2C03" w:rsidRDefault="00E76556" w:rsidP="00E76556">
      <w:pPr>
        <w:pStyle w:val="Prrafodelista"/>
        <w:jc w:val="center"/>
        <w:rPr>
          <w:rFonts w:cs="Arial"/>
          <w:lang w:val="es-ES"/>
        </w:rPr>
      </w:pPr>
    </w:p>
    <w:p w14:paraId="12E80D80" w14:textId="77777777" w:rsidR="00E76556" w:rsidRPr="005F2C03" w:rsidRDefault="00E76556">
      <w:pPr>
        <w:pStyle w:val="Prrafodelista"/>
        <w:numPr>
          <w:ilvl w:val="0"/>
          <w:numId w:val="8"/>
        </w:numPr>
        <w:ind w:left="284" w:right="191" w:firstLine="27"/>
        <w:jc w:val="both"/>
        <w:rPr>
          <w:rFonts w:cs="Arial"/>
          <w:b/>
          <w:lang w:val="es-ES_tradnl"/>
        </w:rPr>
      </w:pPr>
      <w:r w:rsidRPr="005F2C03">
        <w:rPr>
          <w:rFonts w:cs="Arial"/>
          <w:b/>
        </w:rPr>
        <w:t xml:space="preserve">Índice de Precio al Consumidor </w:t>
      </w:r>
    </w:p>
    <w:p w14:paraId="6B5A9E6C" w14:textId="77777777" w:rsidR="00E76556" w:rsidRPr="005F2C03" w:rsidRDefault="00E76556" w:rsidP="00E76556">
      <w:pPr>
        <w:ind w:left="284" w:right="191"/>
        <w:jc w:val="both"/>
        <w:rPr>
          <w:rFonts w:cs="Arial"/>
          <w:b/>
        </w:rPr>
      </w:pPr>
    </w:p>
    <w:p w14:paraId="65AA513C" w14:textId="77777777" w:rsidR="001D21F6" w:rsidRPr="005F2C03" w:rsidRDefault="001D21F6" w:rsidP="001D21F6">
      <w:pPr>
        <w:ind w:left="164" w:right="226"/>
        <w:jc w:val="both"/>
        <w:rPr>
          <w:rFonts w:cs="Arial"/>
        </w:rPr>
      </w:pPr>
      <w:r w:rsidRPr="005F2C03">
        <w:rPr>
          <w:rFonts w:cs="Arial"/>
        </w:rPr>
        <w:t>El IPC es una medida del cambio (variación), en el precio de bienes y servicios representativos del consumo de los hogares del país conocido como canasta, y mide la evolución del costo promedio de la canasta de bienes y servicios representativa del consumo final de los hogares, expresado en relación con un período base.</w:t>
      </w:r>
    </w:p>
    <w:p w14:paraId="51FB5C76" w14:textId="77777777" w:rsidR="001D21F6" w:rsidRPr="005F2C03" w:rsidRDefault="001D21F6" w:rsidP="001D21F6">
      <w:pPr>
        <w:ind w:left="164" w:right="226"/>
        <w:jc w:val="both"/>
        <w:rPr>
          <w:rFonts w:cs="Arial"/>
        </w:rPr>
      </w:pPr>
    </w:p>
    <w:p w14:paraId="331709C3" w14:textId="3EBC4019" w:rsidR="001D21F6" w:rsidRPr="005F2C03" w:rsidRDefault="001D21F6" w:rsidP="001D21F6">
      <w:pPr>
        <w:jc w:val="center"/>
        <w:rPr>
          <w:rFonts w:cs="Arial"/>
          <w:b/>
        </w:rPr>
      </w:pPr>
      <w:r w:rsidRPr="005F2C03">
        <w:rPr>
          <w:rFonts w:cs="Arial"/>
          <w:b/>
          <w:noProof/>
        </w:rPr>
        <w:lastRenderedPageBreak/>
        <w:drawing>
          <wp:inline distT="0" distB="0" distL="0" distR="0" wp14:anchorId="1256FEF2" wp14:editId="64E4F5F2">
            <wp:extent cx="5295900" cy="2105025"/>
            <wp:effectExtent l="0" t="0" r="0" b="9525"/>
            <wp:docPr id="11927814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2105025"/>
                    </a:xfrm>
                    <a:prstGeom prst="rect">
                      <a:avLst/>
                    </a:prstGeom>
                    <a:noFill/>
                    <a:ln>
                      <a:noFill/>
                    </a:ln>
                  </pic:spPr>
                </pic:pic>
              </a:graphicData>
            </a:graphic>
          </wp:inline>
        </w:drawing>
      </w:r>
    </w:p>
    <w:p w14:paraId="15DE5117" w14:textId="77777777" w:rsidR="001D21F6" w:rsidRPr="005F2C03" w:rsidRDefault="001D21F6" w:rsidP="001D21F6">
      <w:pPr>
        <w:jc w:val="center"/>
        <w:rPr>
          <w:rFonts w:cs="Arial"/>
          <w:sz w:val="16"/>
          <w:szCs w:val="16"/>
        </w:rPr>
      </w:pPr>
      <w:r w:rsidRPr="005F2C03">
        <w:rPr>
          <w:rFonts w:cs="Arial"/>
          <w:sz w:val="16"/>
          <w:szCs w:val="16"/>
        </w:rPr>
        <w:t>Fuente: DANE – Boletín técnico del 11 de junio de 2024 – Índice de Precios al Consumidor (IPC)</w:t>
      </w:r>
    </w:p>
    <w:p w14:paraId="0CD98B44" w14:textId="77777777" w:rsidR="001D21F6" w:rsidRPr="005F2C03" w:rsidRDefault="001D21F6" w:rsidP="001D21F6">
      <w:pPr>
        <w:jc w:val="center"/>
        <w:rPr>
          <w:rFonts w:cs="Arial"/>
          <w:sz w:val="16"/>
          <w:szCs w:val="16"/>
        </w:rPr>
      </w:pPr>
    </w:p>
    <w:p w14:paraId="10C0741E" w14:textId="77777777" w:rsidR="001D21F6" w:rsidRPr="005F2C03" w:rsidRDefault="001D21F6" w:rsidP="001D21F6">
      <w:pPr>
        <w:jc w:val="both"/>
        <w:rPr>
          <w:rFonts w:cs="Arial"/>
        </w:rPr>
      </w:pPr>
      <w:r w:rsidRPr="005F2C03">
        <w:rPr>
          <w:rFonts w:cs="Arial"/>
        </w:rPr>
        <w:t>El Departamento Administrativo Nacional de Estadística (DANE) reveló que, En mayo de 2024 la variación mensual del IPC fue 0,43%, la variación año corrido fue 3,78% y la anual 7,16%.</w:t>
      </w:r>
    </w:p>
    <w:p w14:paraId="39CA3622" w14:textId="77777777" w:rsidR="001D21F6" w:rsidRPr="005F2C03" w:rsidRDefault="001D21F6" w:rsidP="001D21F6">
      <w:pPr>
        <w:jc w:val="both"/>
        <w:rPr>
          <w:rFonts w:cs="Arial"/>
          <w:sz w:val="20"/>
          <w:szCs w:val="20"/>
        </w:rPr>
      </w:pPr>
    </w:p>
    <w:p w14:paraId="42335028" w14:textId="7A6D1606" w:rsidR="001D21F6" w:rsidRPr="005F2C03" w:rsidRDefault="001D21F6" w:rsidP="001D21F6">
      <w:pPr>
        <w:jc w:val="center"/>
        <w:rPr>
          <w:rFonts w:cs="Arial"/>
        </w:rPr>
      </w:pPr>
      <w:r w:rsidRPr="005F2C03">
        <w:rPr>
          <w:rFonts w:cs="Arial"/>
          <w:noProof/>
        </w:rPr>
        <w:drawing>
          <wp:inline distT="0" distB="0" distL="0" distR="0" wp14:anchorId="2E7F5345" wp14:editId="6E9F903B">
            <wp:extent cx="5162550" cy="2238375"/>
            <wp:effectExtent l="0" t="0" r="0" b="9525"/>
            <wp:docPr id="123486598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2238375"/>
                    </a:xfrm>
                    <a:prstGeom prst="rect">
                      <a:avLst/>
                    </a:prstGeom>
                    <a:noFill/>
                    <a:ln>
                      <a:noFill/>
                    </a:ln>
                  </pic:spPr>
                </pic:pic>
              </a:graphicData>
            </a:graphic>
          </wp:inline>
        </w:drawing>
      </w:r>
    </w:p>
    <w:p w14:paraId="4596DD48" w14:textId="77777777" w:rsidR="001D21F6" w:rsidRPr="005F2C03" w:rsidRDefault="001D21F6" w:rsidP="001D21F6">
      <w:pPr>
        <w:jc w:val="center"/>
        <w:rPr>
          <w:rFonts w:cs="Arial"/>
          <w:sz w:val="16"/>
          <w:szCs w:val="16"/>
        </w:rPr>
      </w:pPr>
      <w:r w:rsidRPr="005F2C03">
        <w:rPr>
          <w:rFonts w:cs="Arial"/>
          <w:sz w:val="16"/>
          <w:szCs w:val="16"/>
        </w:rPr>
        <w:t>Fuente: DANE – Boletín técnico del 11 de junio de 2024 – Índice de Precios al Consumidor (IPC)</w:t>
      </w:r>
    </w:p>
    <w:p w14:paraId="47B3E953" w14:textId="77777777" w:rsidR="001D21F6" w:rsidRPr="005F2C03" w:rsidRDefault="001D21F6" w:rsidP="001D21F6">
      <w:pPr>
        <w:jc w:val="both"/>
        <w:rPr>
          <w:rFonts w:cs="Arial"/>
          <w:sz w:val="20"/>
          <w:szCs w:val="20"/>
        </w:rPr>
      </w:pPr>
    </w:p>
    <w:p w14:paraId="5C0AEAA5" w14:textId="77777777" w:rsidR="001D21F6" w:rsidRPr="005F2C03" w:rsidRDefault="001D21F6" w:rsidP="001D21F6">
      <w:pPr>
        <w:jc w:val="both"/>
        <w:rPr>
          <w:rFonts w:cs="Arial"/>
        </w:rPr>
      </w:pPr>
      <w:r w:rsidRPr="005F2C03">
        <w:rPr>
          <w:rFonts w:cs="Arial"/>
        </w:rPr>
        <w:t xml:space="preserve">En el mes de mayo de 2024, el IPC registró una variación de 0,43% en comparación con abril de 2024, tres divisiones se ubicaron por encima del promedio nacional (0,43%): Alojamiento, agua, electricidad, gas y otros combustibles (0,74%), Restaurantes y hoteles (0,65%) y por último, Alimentos y bebidas no alcohólicas (0,51%). Por debajo se ubicaron: Bienes y servicios diversos (0,42%), Salud (0,36%), Prendas de vestir y calzado (0,20%), Muebles, artículos para el hogar y para la conservación ordinaria del hogar (0,13%), Bebidas alcohólicas y tabaco (0,11%), Educación (0,03%), Recreación y cultura (-0,02%), Transporte (-0,05%) y por último, Información y comunicación (-0,16%). </w:t>
      </w:r>
    </w:p>
    <w:p w14:paraId="0FDF45B0" w14:textId="77777777" w:rsidR="001D21F6" w:rsidRPr="005F2C03" w:rsidRDefault="001D21F6" w:rsidP="001D21F6">
      <w:pPr>
        <w:jc w:val="both"/>
        <w:rPr>
          <w:rFonts w:cs="Arial"/>
        </w:rPr>
      </w:pPr>
    </w:p>
    <w:p w14:paraId="0F8C4395" w14:textId="77777777" w:rsidR="001D21F6" w:rsidRPr="005F2C03" w:rsidRDefault="001D21F6" w:rsidP="001D21F6">
      <w:pPr>
        <w:jc w:val="both"/>
        <w:rPr>
          <w:rFonts w:cs="Arial"/>
        </w:rPr>
      </w:pPr>
    </w:p>
    <w:p w14:paraId="6C647659" w14:textId="77777777" w:rsidR="00E76556" w:rsidRPr="005F2C03" w:rsidRDefault="00E76556" w:rsidP="00E76556">
      <w:pPr>
        <w:jc w:val="both"/>
        <w:rPr>
          <w:rFonts w:cs="Arial"/>
          <w:bCs/>
        </w:rPr>
      </w:pPr>
    </w:p>
    <w:p w14:paraId="651D2E9D" w14:textId="77777777" w:rsidR="00E76556" w:rsidRPr="005F2C03" w:rsidRDefault="00E76556">
      <w:pPr>
        <w:numPr>
          <w:ilvl w:val="0"/>
          <w:numId w:val="8"/>
        </w:numPr>
        <w:spacing w:after="160"/>
        <w:ind w:left="284" w:right="191" w:firstLine="27"/>
        <w:jc w:val="both"/>
        <w:rPr>
          <w:rFonts w:cs="Arial"/>
          <w:b/>
        </w:rPr>
      </w:pPr>
      <w:r w:rsidRPr="005F2C03">
        <w:rPr>
          <w:rFonts w:cs="Arial"/>
          <w:b/>
        </w:rPr>
        <w:lastRenderedPageBreak/>
        <w:t>Salario Mínimo</w:t>
      </w:r>
    </w:p>
    <w:p w14:paraId="2B9227A9" w14:textId="77777777" w:rsidR="00E76556" w:rsidRPr="005F2C03" w:rsidRDefault="00E76556" w:rsidP="00E76556">
      <w:pPr>
        <w:ind w:left="284" w:right="191"/>
        <w:jc w:val="both"/>
        <w:rPr>
          <w:rFonts w:cs="Arial"/>
          <w:bCs/>
        </w:rPr>
      </w:pPr>
      <w:r w:rsidRPr="005F2C03">
        <w:rPr>
          <w:rFonts w:cs="Arial"/>
          <w:bCs/>
        </w:rPr>
        <w:t xml:space="preserve">El estudio compilado en el libro “Incumplimiento con el Salario Mínimo en América Latina el Peso de los Factores Económicos e Institucionales” de los autores, Andrés </w:t>
      </w:r>
      <w:proofErr w:type="spellStart"/>
      <w:r w:rsidRPr="005F2C03">
        <w:rPr>
          <w:rFonts w:cs="Arial"/>
          <w:bCs/>
        </w:rPr>
        <w:t>Marinakis</w:t>
      </w:r>
      <w:proofErr w:type="spellEnd"/>
      <w:r w:rsidRPr="005F2C03">
        <w:rPr>
          <w:rFonts w:cs="Arial"/>
          <w:bCs/>
        </w:rPr>
        <w:t xml:space="preserve">, Carmen Bueno, Mario Daniel Velásquez, Juan Diego Trejos, Juan José Díaz, Alberto </w:t>
      </w:r>
      <w:proofErr w:type="spellStart"/>
      <w:r w:rsidRPr="005F2C03">
        <w:rPr>
          <w:rFonts w:cs="Arial"/>
          <w:bCs/>
        </w:rPr>
        <w:t>Riella</w:t>
      </w:r>
      <w:proofErr w:type="spellEnd"/>
      <w:r w:rsidRPr="005F2C03">
        <w:rPr>
          <w:rFonts w:cs="Arial"/>
          <w:bCs/>
        </w:rPr>
        <w:t xml:space="preserve">, Paola </w:t>
      </w:r>
      <w:proofErr w:type="spellStart"/>
      <w:r w:rsidRPr="005F2C03">
        <w:rPr>
          <w:rFonts w:cs="Arial"/>
          <w:bCs/>
        </w:rPr>
        <w:t>Mascheroni</w:t>
      </w:r>
      <w:proofErr w:type="spellEnd"/>
      <w:r w:rsidRPr="005F2C03">
        <w:rPr>
          <w:rFonts w:cs="Arial"/>
          <w:bCs/>
        </w:rPr>
        <w:t xml:space="preserve"> e Ivone Perazzo, de la Organización Internacional del Trabajo de 2014, indica que la discusión de los reajustes del salario mínimo suele ser muy apasionada en los países de la región, pero una vez efectuados los aumentos el asunto pasa a un segundo plano hasta que llega el momento del siguiente ajuste. Esta aproximación podría hacer suponer que el cumplimiento con el salario mínimo no presentaría mayores problemas. Pero se trata de una óptica equivocada. </w:t>
      </w:r>
    </w:p>
    <w:p w14:paraId="21084414" w14:textId="77777777" w:rsidR="00E76556" w:rsidRPr="005F2C03" w:rsidRDefault="00E76556" w:rsidP="00E76556">
      <w:pPr>
        <w:ind w:left="284" w:right="191"/>
        <w:jc w:val="both"/>
        <w:rPr>
          <w:rFonts w:cs="Arial"/>
          <w:bCs/>
        </w:rPr>
      </w:pPr>
    </w:p>
    <w:p w14:paraId="55288A42" w14:textId="77777777" w:rsidR="00E76556" w:rsidRPr="005F2C03" w:rsidRDefault="00E76556" w:rsidP="00E76556">
      <w:pPr>
        <w:ind w:left="284" w:right="191"/>
        <w:jc w:val="both"/>
        <w:rPr>
          <w:rFonts w:cs="Arial"/>
          <w:bCs/>
        </w:rPr>
      </w:pPr>
      <w:r w:rsidRPr="005F2C03">
        <w:rPr>
          <w:rFonts w:cs="Arial"/>
          <w:bCs/>
        </w:rPr>
        <w:t>Una revisión de los indicadores disponibles concluye que existen problemas de incumplimiento con este. Una posibilidad es que se considere que el incumplimiento no es factible de reducir dado que el salario mínimo se fijó en niveles muy altos para determinados segmentos de la economía. De acuerdo con esta última perspectiva, que los salarios mínimos sean altos en relación con los salarios promedio de la economía sería un factor que contribuye a la elevada incidencia del empleo informal en muchos países (OCDE, 2014) y, en consecuencia, si el nivel relativo del salario mínimo fuera más bajo, el funcionamiento del mercado del trabajo sería mejor. Esta visión no debería llevar al extremo: si el salario mínimo estuviese situado muy por debajo de los salarios promedios de una economía, perdería toda utilidad como instrumento capaz de garantizar un piso mínimo salarial digno a los trabajadores.</w:t>
      </w:r>
    </w:p>
    <w:p w14:paraId="0F4CDB66" w14:textId="77777777" w:rsidR="00E76556" w:rsidRPr="005F2C03" w:rsidRDefault="00E76556" w:rsidP="00E76556">
      <w:pPr>
        <w:ind w:left="284" w:right="191"/>
        <w:jc w:val="both"/>
        <w:rPr>
          <w:rFonts w:cs="Arial"/>
          <w:bCs/>
        </w:rPr>
      </w:pPr>
    </w:p>
    <w:p w14:paraId="12898E3B" w14:textId="77777777" w:rsidR="00E76556" w:rsidRPr="005F2C03" w:rsidRDefault="00E76556" w:rsidP="00E76556">
      <w:pPr>
        <w:ind w:left="284" w:right="191"/>
        <w:jc w:val="both"/>
        <w:rPr>
          <w:rFonts w:cs="Arial"/>
        </w:rPr>
      </w:pPr>
      <w:r w:rsidRPr="005F2C03">
        <w:rPr>
          <w:rFonts w:cs="Arial"/>
        </w:rPr>
        <w:t xml:space="preserve">Desde una perspectiva institucional es factible una mirada complementaria a las anteriores. Tal como sucede con toda legislación y regulación, el cumplimiento con el salario mínimo requiere de un sistema extendido de inspecciones a establecimientos que apliquen multas y sanciones en forma efectiva y que resulten ser disuasivas para el empleador. En un artículo pionero en la materia, </w:t>
      </w:r>
      <w:proofErr w:type="spellStart"/>
      <w:r w:rsidRPr="005F2C03">
        <w:rPr>
          <w:rFonts w:cs="Arial"/>
        </w:rPr>
        <w:t>Ashenfelter</w:t>
      </w:r>
      <w:proofErr w:type="spellEnd"/>
      <w:r w:rsidRPr="005F2C03">
        <w:rPr>
          <w:rFonts w:cs="Arial"/>
        </w:rPr>
        <w:t xml:space="preserve"> y Smith (1979) efectuaron el cálculo económico del cumplimiento con el salario mínimo en los Estados Unidos, comparando el castigo esperado (que está en función de la probabilidad de ser encontrado en situación de incumplimiento y del monto de la multa) con el beneficio esperado de no ser detectado (que está en función de la probabilidad de ser inspeccionado y del ahorro por pago de un salario inferior al mínimo). </w:t>
      </w:r>
    </w:p>
    <w:p w14:paraId="42222D6C" w14:textId="77777777" w:rsidR="00E76556" w:rsidRPr="005F2C03" w:rsidRDefault="00E76556" w:rsidP="00E76556">
      <w:pPr>
        <w:ind w:left="284" w:right="191"/>
        <w:jc w:val="both"/>
        <w:rPr>
          <w:rFonts w:cs="Arial"/>
        </w:rPr>
      </w:pPr>
    </w:p>
    <w:p w14:paraId="343566B8" w14:textId="77777777" w:rsidR="00E76556" w:rsidRPr="005F2C03" w:rsidRDefault="00E76556" w:rsidP="00E76556">
      <w:pPr>
        <w:ind w:left="284" w:right="191"/>
        <w:jc w:val="both"/>
        <w:rPr>
          <w:rFonts w:cs="Arial"/>
        </w:rPr>
      </w:pPr>
      <w:r w:rsidRPr="005F2C03">
        <w:rPr>
          <w:rFonts w:cs="Arial"/>
        </w:rPr>
        <w:t>En ese estudio, como en otros que siguieron esa misma línea (Weil, 2005), se concluye que se requiere de una institucionalidad efectiva (con inspección, multas y sanciones y diligencia en su aplicación) para mejorar los niveles de cumplimiento con el salario mínimo, incluso en un país como los Estados Unidos, donde este se encuentra en un nivel relativamente bajo.</w:t>
      </w:r>
    </w:p>
    <w:p w14:paraId="7FB27C8D" w14:textId="77777777" w:rsidR="00E76556" w:rsidRPr="005F2C03" w:rsidRDefault="00E76556" w:rsidP="00E76556">
      <w:pPr>
        <w:ind w:left="284" w:right="191"/>
        <w:jc w:val="both"/>
        <w:rPr>
          <w:rFonts w:cs="Arial"/>
        </w:rPr>
      </w:pPr>
    </w:p>
    <w:p w14:paraId="7D613A02" w14:textId="77777777" w:rsidR="00E76556" w:rsidRPr="005F2C03" w:rsidRDefault="00E76556" w:rsidP="00E76556">
      <w:pPr>
        <w:ind w:left="284" w:right="191"/>
        <w:jc w:val="both"/>
        <w:rPr>
          <w:rFonts w:cs="Arial"/>
        </w:rPr>
      </w:pPr>
      <w:r w:rsidRPr="005F2C03">
        <w:rPr>
          <w:rFonts w:cs="Arial"/>
        </w:rPr>
        <w:t>De conformidad con lo establecido en el Decreto 2292 del 29 de diciembre de 2023, el salario mínimo legal para el año 2023 en Colombia se fijó en un millón trescientos mil pesos ($1.300.000) mensuales a partir del 1 de enero de 2024, es decir un aumento aproximado del 12.07% en relación con la cifra acordada para el 2023.</w:t>
      </w:r>
    </w:p>
    <w:p w14:paraId="15FB6A9F" w14:textId="77777777" w:rsidR="00E76556" w:rsidRPr="005F2C03" w:rsidRDefault="00E76556" w:rsidP="00E76556">
      <w:pPr>
        <w:ind w:left="284" w:right="191"/>
        <w:jc w:val="both"/>
        <w:rPr>
          <w:rFonts w:cs="Arial"/>
        </w:rPr>
      </w:pPr>
    </w:p>
    <w:p w14:paraId="69360E08" w14:textId="77777777" w:rsidR="00E76556" w:rsidRPr="005F2C03" w:rsidRDefault="00E76556" w:rsidP="00E76556">
      <w:pPr>
        <w:ind w:left="284" w:right="191"/>
        <w:jc w:val="both"/>
        <w:rPr>
          <w:rFonts w:cs="Arial"/>
        </w:rPr>
      </w:pPr>
      <w:r w:rsidRPr="005F2C03">
        <w:rPr>
          <w:rFonts w:cs="Arial"/>
        </w:rPr>
        <w:t xml:space="preserve">Por su parte, de conformidad con lo establecido en el Decreto 2293 del 29 de diciembre de 2023, el auxilio de transporte para el año 2024 será de $162.000 pesos mensuales, lo que se traduce en un aumento del </w:t>
      </w:r>
      <w:r w:rsidRPr="005F2C03">
        <w:rPr>
          <w:rFonts w:cs="Arial"/>
        </w:rPr>
        <w:lastRenderedPageBreak/>
        <w:t>15% en relación con la cifra acordada para el 2023. En donde sólo tienen derecho al auxilio de transporte quienes devenguen hasta dos salarios mínimos legales mensuales.</w:t>
      </w:r>
    </w:p>
    <w:p w14:paraId="59C5328E" w14:textId="77777777" w:rsidR="00E76556" w:rsidRPr="005F2C03" w:rsidRDefault="00E76556" w:rsidP="00E76556">
      <w:pPr>
        <w:ind w:left="284" w:right="191"/>
        <w:jc w:val="both"/>
        <w:rPr>
          <w:rFonts w:cs="Arial"/>
        </w:rPr>
      </w:pPr>
    </w:p>
    <w:p w14:paraId="7D314FC4" w14:textId="77777777" w:rsidR="00E76556" w:rsidRPr="005F2C03" w:rsidRDefault="00E76556" w:rsidP="00E76556">
      <w:pPr>
        <w:ind w:left="284" w:right="191"/>
        <w:jc w:val="both"/>
        <w:rPr>
          <w:rFonts w:cs="Arial"/>
        </w:rPr>
      </w:pPr>
      <w:r w:rsidRPr="005F2C03">
        <w:rPr>
          <w:rFonts w:cs="Arial"/>
        </w:rPr>
        <w:t>Como es de suponerse el salario mínimo al igual que el Índice de Precios al Consumidor crecen anualmente en cualquier economía que se considere competitiva, en donde los aumentos anuales se observan han oscilado entre un 3,5% y un 27%, con especial énfasis en las últimas dos décadas. Se evidencian los mayores incrementos porcentuales en el 2000, 2001 y 2022, todos situados en el entorno del 10%. En ese orden de ideas se destaca que el valor real de los aumentos depende de la inflación, superando la cifra fijada por el Gobierno para 2024 en más de un punto porcentual, según datos actuales del DANE. A continuación, se muestra el salario mínimo y el auxilio de transporte desde el año 2018 hasta el año 2023.</w:t>
      </w:r>
    </w:p>
    <w:p w14:paraId="225130B5" w14:textId="77777777" w:rsidR="00CF73E5" w:rsidRPr="005F2C03" w:rsidRDefault="00CF73E5" w:rsidP="00E76556">
      <w:pPr>
        <w:ind w:left="284" w:right="191"/>
        <w:jc w:val="both"/>
        <w:rPr>
          <w:rFonts w:cs="Arial"/>
        </w:rPr>
      </w:pPr>
    </w:p>
    <w:p w14:paraId="67CE1EC4" w14:textId="77777777" w:rsidR="00E76556" w:rsidRPr="005F2C03" w:rsidRDefault="00E76556" w:rsidP="00E76556">
      <w:pPr>
        <w:ind w:left="284" w:right="191"/>
        <w:jc w:val="both"/>
        <w:rPr>
          <w:rFonts w:cs="Arial"/>
        </w:rPr>
      </w:pPr>
    </w:p>
    <w:tbl>
      <w:tblPr>
        <w:tblW w:w="5483" w:type="dxa"/>
        <w:tblInd w:w="217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59"/>
        <w:gridCol w:w="2096"/>
        <w:gridCol w:w="2228"/>
      </w:tblGrid>
      <w:tr w:rsidR="00E76556" w:rsidRPr="005F2C03" w14:paraId="4FA3FD7D" w14:textId="77777777" w:rsidTr="002E735E">
        <w:trPr>
          <w:trHeight w:val="20"/>
        </w:trPr>
        <w:tc>
          <w:tcPr>
            <w:tcW w:w="1159" w:type="dxa"/>
            <w:tcBorders>
              <w:top w:val="single" w:sz="12" w:space="0" w:color="000000"/>
              <w:left w:val="single" w:sz="12" w:space="0" w:color="000000"/>
              <w:bottom w:val="single" w:sz="6" w:space="0" w:color="000000"/>
              <w:right w:val="single" w:sz="6" w:space="0" w:color="000000"/>
            </w:tcBorders>
            <w:shd w:val="clear" w:color="auto" w:fill="0F4761"/>
            <w:vAlign w:val="center"/>
            <w:hideMark/>
          </w:tcPr>
          <w:p w14:paraId="697F3C1D" w14:textId="77777777" w:rsidR="00E76556" w:rsidRPr="005F2C03" w:rsidRDefault="00E76556" w:rsidP="002E735E">
            <w:pPr>
              <w:ind w:left="284" w:right="191"/>
              <w:jc w:val="center"/>
              <w:rPr>
                <w:rFonts w:cs="Arial"/>
                <w:b/>
                <w:bCs/>
                <w:color w:val="FFFFFF"/>
                <w:kern w:val="2"/>
              </w:rPr>
            </w:pPr>
            <w:r w:rsidRPr="005F2C03">
              <w:rPr>
                <w:rFonts w:cs="Arial"/>
                <w:b/>
                <w:bCs/>
                <w:color w:val="FFFFFF"/>
                <w:kern w:val="2"/>
              </w:rPr>
              <w:t>Año</w:t>
            </w:r>
          </w:p>
        </w:tc>
        <w:tc>
          <w:tcPr>
            <w:tcW w:w="2096" w:type="dxa"/>
            <w:tcBorders>
              <w:top w:val="single" w:sz="12" w:space="0" w:color="000000"/>
              <w:left w:val="single" w:sz="6" w:space="0" w:color="000000"/>
              <w:bottom w:val="single" w:sz="6" w:space="0" w:color="000000"/>
              <w:right w:val="single" w:sz="6" w:space="0" w:color="000000"/>
            </w:tcBorders>
            <w:shd w:val="clear" w:color="auto" w:fill="0F4761"/>
            <w:vAlign w:val="center"/>
            <w:hideMark/>
          </w:tcPr>
          <w:p w14:paraId="5132087D" w14:textId="77777777" w:rsidR="00E76556" w:rsidRPr="005F2C03" w:rsidRDefault="00E76556" w:rsidP="002E735E">
            <w:pPr>
              <w:ind w:left="284" w:right="191"/>
              <w:jc w:val="center"/>
              <w:rPr>
                <w:rFonts w:eastAsia="Calibri" w:cs="Arial"/>
                <w:b/>
                <w:bCs/>
                <w:color w:val="FFFFFF"/>
                <w:kern w:val="2"/>
              </w:rPr>
            </w:pPr>
            <w:r w:rsidRPr="005F2C03">
              <w:rPr>
                <w:rFonts w:cs="Arial"/>
                <w:b/>
                <w:bCs/>
                <w:color w:val="FFFFFF"/>
                <w:kern w:val="2"/>
              </w:rPr>
              <w:t>Salario mínimo</w:t>
            </w:r>
          </w:p>
        </w:tc>
        <w:tc>
          <w:tcPr>
            <w:tcW w:w="2228" w:type="dxa"/>
            <w:tcBorders>
              <w:top w:val="single" w:sz="12" w:space="0" w:color="000000"/>
              <w:left w:val="single" w:sz="6" w:space="0" w:color="000000"/>
              <w:bottom w:val="single" w:sz="6" w:space="0" w:color="000000"/>
              <w:right w:val="single" w:sz="12" w:space="0" w:color="000000"/>
            </w:tcBorders>
            <w:shd w:val="clear" w:color="auto" w:fill="0F4761"/>
            <w:vAlign w:val="center"/>
            <w:hideMark/>
          </w:tcPr>
          <w:p w14:paraId="077C8917" w14:textId="77777777" w:rsidR="00E76556" w:rsidRPr="005F2C03" w:rsidRDefault="00E76556" w:rsidP="002E735E">
            <w:pPr>
              <w:ind w:left="284" w:right="191"/>
              <w:jc w:val="center"/>
              <w:rPr>
                <w:rFonts w:eastAsia="Times New Roman" w:cs="Arial"/>
                <w:b/>
                <w:bCs/>
                <w:color w:val="FFFFFF"/>
                <w:kern w:val="2"/>
              </w:rPr>
            </w:pPr>
            <w:r w:rsidRPr="005F2C03">
              <w:rPr>
                <w:rFonts w:cs="Arial"/>
                <w:b/>
                <w:bCs/>
                <w:color w:val="FFFFFF"/>
                <w:kern w:val="2"/>
              </w:rPr>
              <w:t>Auxilio de transporte</w:t>
            </w:r>
          </w:p>
        </w:tc>
      </w:tr>
      <w:tr w:rsidR="00E76556" w:rsidRPr="005F2C03" w14:paraId="48343479" w14:textId="77777777" w:rsidTr="002E735E">
        <w:trPr>
          <w:trHeight w:val="20"/>
        </w:trPr>
        <w:tc>
          <w:tcPr>
            <w:tcW w:w="1159" w:type="dxa"/>
            <w:tcBorders>
              <w:top w:val="single" w:sz="6" w:space="0" w:color="000000"/>
              <w:left w:val="single" w:sz="12" w:space="0" w:color="000000"/>
              <w:bottom w:val="single" w:sz="6" w:space="0" w:color="000000"/>
              <w:right w:val="single" w:sz="6" w:space="0" w:color="000000"/>
            </w:tcBorders>
            <w:vAlign w:val="center"/>
            <w:hideMark/>
          </w:tcPr>
          <w:p w14:paraId="61407ED9" w14:textId="77777777" w:rsidR="00E76556" w:rsidRPr="005F2C03" w:rsidRDefault="00E76556" w:rsidP="002E735E">
            <w:pPr>
              <w:ind w:left="284" w:right="191"/>
              <w:jc w:val="center"/>
              <w:rPr>
                <w:rFonts w:cs="Arial"/>
                <w:kern w:val="2"/>
              </w:rPr>
            </w:pPr>
            <w:bookmarkStart w:id="19" w:name="_Hlk155161668"/>
            <w:r w:rsidRPr="005F2C03">
              <w:rPr>
                <w:rFonts w:cs="Arial"/>
                <w:kern w:val="2"/>
              </w:rPr>
              <w:t>2024</w:t>
            </w:r>
          </w:p>
        </w:tc>
        <w:tc>
          <w:tcPr>
            <w:tcW w:w="2096" w:type="dxa"/>
            <w:tcBorders>
              <w:top w:val="single" w:sz="6" w:space="0" w:color="000000"/>
              <w:left w:val="single" w:sz="6" w:space="0" w:color="000000"/>
              <w:bottom w:val="single" w:sz="6" w:space="0" w:color="000000"/>
              <w:right w:val="single" w:sz="6" w:space="0" w:color="000000"/>
            </w:tcBorders>
            <w:vAlign w:val="center"/>
            <w:hideMark/>
          </w:tcPr>
          <w:p w14:paraId="024F2DE4" w14:textId="77777777" w:rsidR="00E76556" w:rsidRPr="005F2C03" w:rsidRDefault="00E76556" w:rsidP="002E735E">
            <w:pPr>
              <w:ind w:left="284" w:right="191"/>
              <w:jc w:val="center"/>
              <w:rPr>
                <w:rFonts w:cs="Arial"/>
                <w:kern w:val="2"/>
              </w:rPr>
            </w:pPr>
            <w:r w:rsidRPr="005F2C03">
              <w:rPr>
                <w:rFonts w:cs="Arial"/>
                <w:kern w:val="2"/>
              </w:rPr>
              <w:t>$1.300.000</w:t>
            </w:r>
          </w:p>
        </w:tc>
        <w:tc>
          <w:tcPr>
            <w:tcW w:w="2228" w:type="dxa"/>
            <w:tcBorders>
              <w:top w:val="single" w:sz="6" w:space="0" w:color="000000"/>
              <w:left w:val="single" w:sz="6" w:space="0" w:color="000000"/>
              <w:bottom w:val="single" w:sz="6" w:space="0" w:color="000000"/>
              <w:right w:val="single" w:sz="12" w:space="0" w:color="000000"/>
            </w:tcBorders>
            <w:vAlign w:val="center"/>
            <w:hideMark/>
          </w:tcPr>
          <w:p w14:paraId="32A03C40" w14:textId="77777777" w:rsidR="00E76556" w:rsidRPr="005F2C03" w:rsidRDefault="00E76556" w:rsidP="002E735E">
            <w:pPr>
              <w:ind w:left="284" w:right="191"/>
              <w:jc w:val="center"/>
              <w:rPr>
                <w:rFonts w:cs="Arial"/>
                <w:kern w:val="2"/>
              </w:rPr>
            </w:pPr>
            <w:r w:rsidRPr="005F2C03">
              <w:rPr>
                <w:rFonts w:cs="Arial"/>
                <w:kern w:val="2"/>
              </w:rPr>
              <w:t>$162.000</w:t>
            </w:r>
          </w:p>
        </w:tc>
        <w:bookmarkEnd w:id="19"/>
      </w:tr>
      <w:tr w:rsidR="00E76556" w:rsidRPr="005F2C03" w14:paraId="6831DE4A" w14:textId="77777777" w:rsidTr="002E735E">
        <w:trPr>
          <w:trHeight w:val="20"/>
        </w:trPr>
        <w:tc>
          <w:tcPr>
            <w:tcW w:w="1159" w:type="dxa"/>
            <w:tcBorders>
              <w:top w:val="single" w:sz="6" w:space="0" w:color="000000"/>
              <w:left w:val="single" w:sz="12" w:space="0" w:color="000000"/>
              <w:bottom w:val="single" w:sz="6" w:space="0" w:color="000000"/>
              <w:right w:val="single" w:sz="6" w:space="0" w:color="000000"/>
            </w:tcBorders>
            <w:vAlign w:val="center"/>
            <w:hideMark/>
          </w:tcPr>
          <w:p w14:paraId="15CDF2E8" w14:textId="77777777" w:rsidR="00E76556" w:rsidRPr="005F2C03" w:rsidRDefault="00E76556" w:rsidP="002E735E">
            <w:pPr>
              <w:ind w:left="284" w:right="191"/>
              <w:jc w:val="center"/>
              <w:rPr>
                <w:rFonts w:cs="Arial"/>
                <w:kern w:val="2"/>
              </w:rPr>
            </w:pPr>
            <w:r w:rsidRPr="005F2C03">
              <w:rPr>
                <w:rFonts w:cs="Arial"/>
                <w:kern w:val="2"/>
              </w:rPr>
              <w:t>2023</w:t>
            </w:r>
          </w:p>
        </w:tc>
        <w:tc>
          <w:tcPr>
            <w:tcW w:w="2096" w:type="dxa"/>
            <w:tcBorders>
              <w:top w:val="single" w:sz="6" w:space="0" w:color="000000"/>
              <w:left w:val="single" w:sz="6" w:space="0" w:color="000000"/>
              <w:bottom w:val="single" w:sz="6" w:space="0" w:color="000000"/>
              <w:right w:val="single" w:sz="6" w:space="0" w:color="000000"/>
            </w:tcBorders>
            <w:vAlign w:val="center"/>
            <w:hideMark/>
          </w:tcPr>
          <w:p w14:paraId="18EC65CE" w14:textId="77777777" w:rsidR="00E76556" w:rsidRPr="005F2C03" w:rsidRDefault="00E76556" w:rsidP="002E735E">
            <w:pPr>
              <w:ind w:left="284" w:right="191"/>
              <w:jc w:val="center"/>
              <w:rPr>
                <w:rFonts w:cs="Arial"/>
                <w:kern w:val="2"/>
              </w:rPr>
            </w:pPr>
            <w:r w:rsidRPr="005F2C03">
              <w:rPr>
                <w:rFonts w:cs="Arial"/>
                <w:kern w:val="2"/>
              </w:rPr>
              <w:t>$1.160.000</w:t>
            </w:r>
          </w:p>
        </w:tc>
        <w:tc>
          <w:tcPr>
            <w:tcW w:w="2228" w:type="dxa"/>
            <w:tcBorders>
              <w:top w:val="single" w:sz="6" w:space="0" w:color="000000"/>
              <w:left w:val="single" w:sz="6" w:space="0" w:color="000000"/>
              <w:bottom w:val="single" w:sz="6" w:space="0" w:color="000000"/>
              <w:right w:val="single" w:sz="12" w:space="0" w:color="000000"/>
            </w:tcBorders>
            <w:vAlign w:val="center"/>
            <w:hideMark/>
          </w:tcPr>
          <w:p w14:paraId="400A5A2A" w14:textId="77777777" w:rsidR="00E76556" w:rsidRPr="005F2C03" w:rsidRDefault="00E76556" w:rsidP="002E735E">
            <w:pPr>
              <w:ind w:left="284" w:right="191"/>
              <w:jc w:val="center"/>
              <w:rPr>
                <w:rFonts w:cs="Arial"/>
                <w:kern w:val="2"/>
              </w:rPr>
            </w:pPr>
            <w:r w:rsidRPr="005F2C03">
              <w:rPr>
                <w:rFonts w:cs="Arial"/>
                <w:kern w:val="2"/>
              </w:rPr>
              <w:t>$140.606</w:t>
            </w:r>
          </w:p>
        </w:tc>
      </w:tr>
      <w:tr w:rsidR="00E76556" w:rsidRPr="005F2C03" w14:paraId="0280BC89" w14:textId="77777777" w:rsidTr="002E735E">
        <w:trPr>
          <w:trHeight w:val="20"/>
        </w:trPr>
        <w:tc>
          <w:tcPr>
            <w:tcW w:w="1159" w:type="dxa"/>
            <w:tcBorders>
              <w:top w:val="single" w:sz="6" w:space="0" w:color="000000"/>
              <w:left w:val="single" w:sz="12" w:space="0" w:color="000000"/>
              <w:bottom w:val="single" w:sz="6" w:space="0" w:color="000000"/>
              <w:right w:val="single" w:sz="6" w:space="0" w:color="000000"/>
            </w:tcBorders>
            <w:vAlign w:val="center"/>
            <w:hideMark/>
          </w:tcPr>
          <w:p w14:paraId="5C299F56" w14:textId="77777777" w:rsidR="00E76556" w:rsidRPr="005F2C03" w:rsidRDefault="00E76556" w:rsidP="002E735E">
            <w:pPr>
              <w:ind w:left="284" w:right="191"/>
              <w:jc w:val="center"/>
              <w:rPr>
                <w:rFonts w:cs="Arial"/>
                <w:kern w:val="2"/>
              </w:rPr>
            </w:pPr>
            <w:r w:rsidRPr="005F2C03">
              <w:rPr>
                <w:rFonts w:cs="Arial"/>
                <w:kern w:val="2"/>
              </w:rPr>
              <w:t>2022</w:t>
            </w:r>
          </w:p>
        </w:tc>
        <w:tc>
          <w:tcPr>
            <w:tcW w:w="2096" w:type="dxa"/>
            <w:tcBorders>
              <w:top w:val="single" w:sz="6" w:space="0" w:color="000000"/>
              <w:left w:val="single" w:sz="6" w:space="0" w:color="000000"/>
              <w:bottom w:val="single" w:sz="6" w:space="0" w:color="000000"/>
              <w:right w:val="single" w:sz="6" w:space="0" w:color="000000"/>
            </w:tcBorders>
            <w:vAlign w:val="center"/>
            <w:hideMark/>
          </w:tcPr>
          <w:p w14:paraId="43D29A02" w14:textId="77777777" w:rsidR="00E76556" w:rsidRPr="005F2C03" w:rsidRDefault="00E76556" w:rsidP="002E735E">
            <w:pPr>
              <w:ind w:left="284" w:right="191"/>
              <w:jc w:val="center"/>
              <w:rPr>
                <w:rFonts w:cs="Arial"/>
                <w:kern w:val="2"/>
              </w:rPr>
            </w:pPr>
            <w:r w:rsidRPr="005F2C03">
              <w:rPr>
                <w:rFonts w:cs="Arial"/>
                <w:kern w:val="2"/>
              </w:rPr>
              <w:t>$1.000.000</w:t>
            </w:r>
          </w:p>
        </w:tc>
        <w:tc>
          <w:tcPr>
            <w:tcW w:w="2228" w:type="dxa"/>
            <w:tcBorders>
              <w:top w:val="single" w:sz="6" w:space="0" w:color="000000"/>
              <w:left w:val="single" w:sz="6" w:space="0" w:color="000000"/>
              <w:bottom w:val="single" w:sz="6" w:space="0" w:color="000000"/>
              <w:right w:val="single" w:sz="12" w:space="0" w:color="000000"/>
            </w:tcBorders>
            <w:vAlign w:val="center"/>
            <w:hideMark/>
          </w:tcPr>
          <w:p w14:paraId="016B0A8F" w14:textId="77777777" w:rsidR="00E76556" w:rsidRPr="005F2C03" w:rsidRDefault="00E76556" w:rsidP="002E735E">
            <w:pPr>
              <w:ind w:left="284" w:right="191"/>
              <w:jc w:val="center"/>
              <w:rPr>
                <w:rFonts w:cs="Arial"/>
                <w:kern w:val="2"/>
              </w:rPr>
            </w:pPr>
            <w:r w:rsidRPr="005F2C03">
              <w:rPr>
                <w:rFonts w:cs="Arial"/>
                <w:kern w:val="2"/>
              </w:rPr>
              <w:t>$117.172</w:t>
            </w:r>
          </w:p>
        </w:tc>
      </w:tr>
      <w:tr w:rsidR="00E76556" w:rsidRPr="005F2C03" w14:paraId="102D55A9" w14:textId="77777777" w:rsidTr="002E735E">
        <w:trPr>
          <w:trHeight w:val="20"/>
        </w:trPr>
        <w:tc>
          <w:tcPr>
            <w:tcW w:w="1159" w:type="dxa"/>
            <w:tcBorders>
              <w:top w:val="single" w:sz="6" w:space="0" w:color="000000"/>
              <w:left w:val="single" w:sz="12" w:space="0" w:color="000000"/>
              <w:bottom w:val="single" w:sz="6" w:space="0" w:color="000000"/>
              <w:right w:val="single" w:sz="6" w:space="0" w:color="000000"/>
            </w:tcBorders>
            <w:vAlign w:val="center"/>
            <w:hideMark/>
          </w:tcPr>
          <w:p w14:paraId="1FCD8A2C" w14:textId="77777777" w:rsidR="00E76556" w:rsidRPr="005F2C03" w:rsidRDefault="00E76556" w:rsidP="002E735E">
            <w:pPr>
              <w:ind w:left="284" w:right="191"/>
              <w:jc w:val="center"/>
              <w:rPr>
                <w:rFonts w:cs="Arial"/>
                <w:kern w:val="2"/>
              </w:rPr>
            </w:pPr>
            <w:r w:rsidRPr="005F2C03">
              <w:rPr>
                <w:rFonts w:cs="Arial"/>
                <w:kern w:val="2"/>
              </w:rPr>
              <w:t>2021</w:t>
            </w:r>
          </w:p>
        </w:tc>
        <w:tc>
          <w:tcPr>
            <w:tcW w:w="2096" w:type="dxa"/>
            <w:tcBorders>
              <w:top w:val="single" w:sz="6" w:space="0" w:color="000000"/>
              <w:left w:val="single" w:sz="6" w:space="0" w:color="000000"/>
              <w:bottom w:val="single" w:sz="6" w:space="0" w:color="000000"/>
              <w:right w:val="single" w:sz="6" w:space="0" w:color="000000"/>
            </w:tcBorders>
            <w:vAlign w:val="center"/>
            <w:hideMark/>
          </w:tcPr>
          <w:p w14:paraId="2B3A7404" w14:textId="77777777" w:rsidR="00E76556" w:rsidRPr="005F2C03" w:rsidRDefault="00E76556" w:rsidP="002E735E">
            <w:pPr>
              <w:ind w:left="284" w:right="191"/>
              <w:jc w:val="center"/>
              <w:rPr>
                <w:rFonts w:cs="Arial"/>
                <w:kern w:val="2"/>
              </w:rPr>
            </w:pPr>
            <w:r w:rsidRPr="005F2C03">
              <w:rPr>
                <w:rFonts w:cs="Arial"/>
                <w:kern w:val="2"/>
              </w:rPr>
              <w:t>$908.526</w:t>
            </w:r>
          </w:p>
        </w:tc>
        <w:tc>
          <w:tcPr>
            <w:tcW w:w="2228" w:type="dxa"/>
            <w:tcBorders>
              <w:top w:val="single" w:sz="6" w:space="0" w:color="000000"/>
              <w:left w:val="single" w:sz="6" w:space="0" w:color="000000"/>
              <w:bottom w:val="single" w:sz="6" w:space="0" w:color="000000"/>
              <w:right w:val="single" w:sz="12" w:space="0" w:color="000000"/>
            </w:tcBorders>
            <w:vAlign w:val="center"/>
            <w:hideMark/>
          </w:tcPr>
          <w:p w14:paraId="7C818737" w14:textId="77777777" w:rsidR="00E76556" w:rsidRPr="005F2C03" w:rsidRDefault="00E76556" w:rsidP="002E735E">
            <w:pPr>
              <w:ind w:left="284" w:right="191"/>
              <w:jc w:val="center"/>
              <w:rPr>
                <w:rFonts w:cs="Arial"/>
                <w:kern w:val="2"/>
              </w:rPr>
            </w:pPr>
            <w:r w:rsidRPr="005F2C03">
              <w:rPr>
                <w:rFonts w:cs="Arial"/>
                <w:kern w:val="2"/>
              </w:rPr>
              <w:t>$106.454</w:t>
            </w:r>
          </w:p>
        </w:tc>
      </w:tr>
      <w:tr w:rsidR="00E76556" w:rsidRPr="005F2C03" w14:paraId="4461321C" w14:textId="77777777" w:rsidTr="002E735E">
        <w:trPr>
          <w:trHeight w:val="231"/>
        </w:trPr>
        <w:tc>
          <w:tcPr>
            <w:tcW w:w="1159" w:type="dxa"/>
            <w:tcBorders>
              <w:top w:val="single" w:sz="6" w:space="0" w:color="000000"/>
              <w:left w:val="single" w:sz="12" w:space="0" w:color="000000"/>
              <w:bottom w:val="single" w:sz="6" w:space="0" w:color="000000"/>
              <w:right w:val="single" w:sz="6" w:space="0" w:color="000000"/>
            </w:tcBorders>
            <w:vAlign w:val="center"/>
            <w:hideMark/>
          </w:tcPr>
          <w:p w14:paraId="363BFC40" w14:textId="77777777" w:rsidR="00E76556" w:rsidRPr="005F2C03" w:rsidRDefault="00E76556" w:rsidP="002E735E">
            <w:pPr>
              <w:ind w:left="284" w:right="191"/>
              <w:jc w:val="center"/>
              <w:rPr>
                <w:rFonts w:cs="Arial"/>
                <w:kern w:val="2"/>
              </w:rPr>
            </w:pPr>
            <w:r w:rsidRPr="005F2C03">
              <w:rPr>
                <w:rFonts w:cs="Arial"/>
                <w:kern w:val="2"/>
              </w:rPr>
              <w:t>2020</w:t>
            </w:r>
          </w:p>
        </w:tc>
        <w:tc>
          <w:tcPr>
            <w:tcW w:w="2096" w:type="dxa"/>
            <w:tcBorders>
              <w:top w:val="single" w:sz="6" w:space="0" w:color="000000"/>
              <w:left w:val="single" w:sz="6" w:space="0" w:color="000000"/>
              <w:bottom w:val="single" w:sz="6" w:space="0" w:color="000000"/>
              <w:right w:val="single" w:sz="6" w:space="0" w:color="000000"/>
            </w:tcBorders>
            <w:vAlign w:val="center"/>
            <w:hideMark/>
          </w:tcPr>
          <w:p w14:paraId="36490482" w14:textId="77777777" w:rsidR="00E76556" w:rsidRPr="005F2C03" w:rsidRDefault="00E76556" w:rsidP="002E735E">
            <w:pPr>
              <w:ind w:left="284" w:right="191"/>
              <w:jc w:val="center"/>
              <w:rPr>
                <w:rFonts w:cs="Arial"/>
                <w:kern w:val="2"/>
              </w:rPr>
            </w:pPr>
            <w:r w:rsidRPr="005F2C03">
              <w:rPr>
                <w:rFonts w:cs="Arial"/>
                <w:kern w:val="2"/>
              </w:rPr>
              <w:t>$877.803</w:t>
            </w:r>
          </w:p>
        </w:tc>
        <w:tc>
          <w:tcPr>
            <w:tcW w:w="2228" w:type="dxa"/>
            <w:tcBorders>
              <w:top w:val="single" w:sz="6" w:space="0" w:color="000000"/>
              <w:left w:val="single" w:sz="6" w:space="0" w:color="000000"/>
              <w:bottom w:val="single" w:sz="6" w:space="0" w:color="000000"/>
              <w:right w:val="single" w:sz="12" w:space="0" w:color="000000"/>
            </w:tcBorders>
            <w:vAlign w:val="center"/>
            <w:hideMark/>
          </w:tcPr>
          <w:p w14:paraId="2A3EC03A" w14:textId="77777777" w:rsidR="00E76556" w:rsidRPr="005F2C03" w:rsidRDefault="00E76556" w:rsidP="002E735E">
            <w:pPr>
              <w:ind w:left="284" w:right="191"/>
              <w:jc w:val="center"/>
              <w:rPr>
                <w:rFonts w:cs="Arial"/>
                <w:kern w:val="2"/>
              </w:rPr>
            </w:pPr>
            <w:r w:rsidRPr="005F2C03">
              <w:rPr>
                <w:rFonts w:cs="Arial"/>
                <w:kern w:val="2"/>
              </w:rPr>
              <w:t>$102.854</w:t>
            </w:r>
          </w:p>
        </w:tc>
      </w:tr>
      <w:tr w:rsidR="00E76556" w:rsidRPr="005F2C03" w14:paraId="308FBEC9" w14:textId="77777777" w:rsidTr="002E735E">
        <w:trPr>
          <w:trHeight w:val="20"/>
        </w:trPr>
        <w:tc>
          <w:tcPr>
            <w:tcW w:w="1159" w:type="dxa"/>
            <w:tcBorders>
              <w:top w:val="single" w:sz="6" w:space="0" w:color="000000"/>
              <w:left w:val="single" w:sz="12" w:space="0" w:color="000000"/>
              <w:bottom w:val="single" w:sz="6" w:space="0" w:color="000000"/>
              <w:right w:val="single" w:sz="6" w:space="0" w:color="000000"/>
            </w:tcBorders>
            <w:vAlign w:val="center"/>
            <w:hideMark/>
          </w:tcPr>
          <w:p w14:paraId="5FCC291F" w14:textId="77777777" w:rsidR="00E76556" w:rsidRPr="005F2C03" w:rsidRDefault="00E76556" w:rsidP="002E735E">
            <w:pPr>
              <w:ind w:left="284" w:right="191"/>
              <w:jc w:val="center"/>
              <w:rPr>
                <w:rFonts w:cs="Arial"/>
                <w:kern w:val="2"/>
              </w:rPr>
            </w:pPr>
            <w:r w:rsidRPr="005F2C03">
              <w:rPr>
                <w:rFonts w:cs="Arial"/>
                <w:kern w:val="2"/>
              </w:rPr>
              <w:t>2019</w:t>
            </w:r>
          </w:p>
        </w:tc>
        <w:tc>
          <w:tcPr>
            <w:tcW w:w="2096" w:type="dxa"/>
            <w:tcBorders>
              <w:top w:val="single" w:sz="6" w:space="0" w:color="000000"/>
              <w:left w:val="single" w:sz="6" w:space="0" w:color="000000"/>
              <w:bottom w:val="single" w:sz="6" w:space="0" w:color="000000"/>
              <w:right w:val="single" w:sz="6" w:space="0" w:color="000000"/>
            </w:tcBorders>
            <w:vAlign w:val="center"/>
            <w:hideMark/>
          </w:tcPr>
          <w:p w14:paraId="36527902" w14:textId="77777777" w:rsidR="00E76556" w:rsidRPr="005F2C03" w:rsidRDefault="00E76556" w:rsidP="002E735E">
            <w:pPr>
              <w:ind w:left="284" w:right="191"/>
              <w:jc w:val="center"/>
              <w:rPr>
                <w:rFonts w:cs="Arial"/>
                <w:kern w:val="2"/>
              </w:rPr>
            </w:pPr>
            <w:r w:rsidRPr="005F2C03">
              <w:rPr>
                <w:rFonts w:cs="Arial"/>
                <w:kern w:val="2"/>
              </w:rPr>
              <w:t>$828.116</w:t>
            </w:r>
          </w:p>
        </w:tc>
        <w:tc>
          <w:tcPr>
            <w:tcW w:w="2228" w:type="dxa"/>
            <w:tcBorders>
              <w:top w:val="single" w:sz="6" w:space="0" w:color="000000"/>
              <w:left w:val="single" w:sz="6" w:space="0" w:color="000000"/>
              <w:bottom w:val="single" w:sz="6" w:space="0" w:color="000000"/>
              <w:right w:val="single" w:sz="12" w:space="0" w:color="000000"/>
            </w:tcBorders>
            <w:vAlign w:val="center"/>
            <w:hideMark/>
          </w:tcPr>
          <w:p w14:paraId="14F9070A" w14:textId="77777777" w:rsidR="00E76556" w:rsidRPr="005F2C03" w:rsidRDefault="00E76556" w:rsidP="002E735E">
            <w:pPr>
              <w:ind w:left="284" w:right="191"/>
              <w:jc w:val="center"/>
              <w:rPr>
                <w:rFonts w:cs="Arial"/>
                <w:kern w:val="2"/>
              </w:rPr>
            </w:pPr>
            <w:r w:rsidRPr="005F2C03">
              <w:rPr>
                <w:rFonts w:cs="Arial"/>
                <w:kern w:val="2"/>
              </w:rPr>
              <w:t>$97.032</w:t>
            </w:r>
          </w:p>
        </w:tc>
      </w:tr>
      <w:tr w:rsidR="00E76556" w:rsidRPr="005F2C03" w14:paraId="485359E1" w14:textId="77777777" w:rsidTr="002E735E">
        <w:trPr>
          <w:trHeight w:val="20"/>
        </w:trPr>
        <w:tc>
          <w:tcPr>
            <w:tcW w:w="1159" w:type="dxa"/>
            <w:tcBorders>
              <w:top w:val="single" w:sz="6" w:space="0" w:color="000000"/>
              <w:left w:val="single" w:sz="12" w:space="0" w:color="000000"/>
              <w:bottom w:val="single" w:sz="12" w:space="0" w:color="000000"/>
              <w:right w:val="single" w:sz="6" w:space="0" w:color="000000"/>
            </w:tcBorders>
            <w:vAlign w:val="center"/>
            <w:hideMark/>
          </w:tcPr>
          <w:p w14:paraId="1596E8AF" w14:textId="77777777" w:rsidR="00E76556" w:rsidRPr="005F2C03" w:rsidRDefault="00E76556" w:rsidP="002E735E">
            <w:pPr>
              <w:ind w:left="284" w:right="191"/>
              <w:jc w:val="center"/>
              <w:rPr>
                <w:rFonts w:cs="Arial"/>
                <w:kern w:val="2"/>
              </w:rPr>
            </w:pPr>
            <w:r w:rsidRPr="005F2C03">
              <w:rPr>
                <w:rFonts w:cs="Arial"/>
                <w:kern w:val="2"/>
              </w:rPr>
              <w:t>2018</w:t>
            </w:r>
          </w:p>
        </w:tc>
        <w:tc>
          <w:tcPr>
            <w:tcW w:w="2096" w:type="dxa"/>
            <w:tcBorders>
              <w:top w:val="single" w:sz="6" w:space="0" w:color="000000"/>
              <w:left w:val="single" w:sz="6" w:space="0" w:color="000000"/>
              <w:bottom w:val="single" w:sz="12" w:space="0" w:color="000000"/>
              <w:right w:val="single" w:sz="6" w:space="0" w:color="000000"/>
            </w:tcBorders>
            <w:vAlign w:val="center"/>
            <w:hideMark/>
          </w:tcPr>
          <w:p w14:paraId="596935DF" w14:textId="77777777" w:rsidR="00E76556" w:rsidRPr="005F2C03" w:rsidRDefault="00E76556" w:rsidP="002E735E">
            <w:pPr>
              <w:ind w:left="284" w:right="191"/>
              <w:jc w:val="center"/>
              <w:rPr>
                <w:rFonts w:cs="Arial"/>
                <w:kern w:val="2"/>
              </w:rPr>
            </w:pPr>
            <w:r w:rsidRPr="005F2C03">
              <w:rPr>
                <w:rFonts w:cs="Arial"/>
                <w:kern w:val="2"/>
              </w:rPr>
              <w:t>$781.242</w:t>
            </w:r>
          </w:p>
        </w:tc>
        <w:tc>
          <w:tcPr>
            <w:tcW w:w="2228" w:type="dxa"/>
            <w:tcBorders>
              <w:top w:val="single" w:sz="6" w:space="0" w:color="000000"/>
              <w:left w:val="single" w:sz="6" w:space="0" w:color="000000"/>
              <w:bottom w:val="single" w:sz="12" w:space="0" w:color="000000"/>
              <w:right w:val="single" w:sz="12" w:space="0" w:color="000000"/>
            </w:tcBorders>
            <w:vAlign w:val="center"/>
            <w:hideMark/>
          </w:tcPr>
          <w:p w14:paraId="3444A3F9" w14:textId="77777777" w:rsidR="00E76556" w:rsidRPr="005F2C03" w:rsidRDefault="00E76556" w:rsidP="002E735E">
            <w:pPr>
              <w:ind w:left="284" w:right="191"/>
              <w:jc w:val="center"/>
              <w:rPr>
                <w:rFonts w:cs="Arial"/>
                <w:kern w:val="2"/>
              </w:rPr>
            </w:pPr>
            <w:r w:rsidRPr="005F2C03">
              <w:rPr>
                <w:rFonts w:cs="Arial"/>
                <w:kern w:val="2"/>
              </w:rPr>
              <w:t>$88.211</w:t>
            </w:r>
          </w:p>
        </w:tc>
      </w:tr>
    </w:tbl>
    <w:p w14:paraId="40ABDF16" w14:textId="77777777" w:rsidR="00E76556" w:rsidRPr="005F2C03" w:rsidRDefault="00E76556" w:rsidP="00E76556">
      <w:pPr>
        <w:ind w:left="284" w:right="191"/>
        <w:jc w:val="center"/>
        <w:rPr>
          <w:rFonts w:eastAsia="Times New Roman" w:cs="Arial"/>
          <w:sz w:val="18"/>
          <w:szCs w:val="18"/>
          <w:lang w:val="es-ES" w:eastAsia="es-ES"/>
        </w:rPr>
      </w:pPr>
      <w:r w:rsidRPr="005F2C03">
        <w:rPr>
          <w:rFonts w:cs="Arial"/>
          <w:sz w:val="18"/>
          <w:szCs w:val="18"/>
        </w:rPr>
        <w:t>Fuente: Elaboración Propia.</w:t>
      </w:r>
    </w:p>
    <w:p w14:paraId="1C9A1A5F" w14:textId="77777777" w:rsidR="00E76556" w:rsidRPr="005F2C03" w:rsidRDefault="00E76556" w:rsidP="00E76556">
      <w:pPr>
        <w:ind w:left="284" w:right="191"/>
        <w:jc w:val="center"/>
        <w:rPr>
          <w:rFonts w:cs="Arial"/>
          <w:sz w:val="18"/>
          <w:szCs w:val="18"/>
        </w:rPr>
      </w:pPr>
    </w:p>
    <w:p w14:paraId="5EF27E02" w14:textId="77777777" w:rsidR="00E76556" w:rsidRPr="005F2C03" w:rsidRDefault="00E76556">
      <w:pPr>
        <w:pStyle w:val="Prrafodelista"/>
        <w:numPr>
          <w:ilvl w:val="0"/>
          <w:numId w:val="8"/>
        </w:numPr>
        <w:ind w:left="284" w:right="191" w:firstLine="27"/>
        <w:jc w:val="both"/>
        <w:rPr>
          <w:rFonts w:cs="Arial"/>
          <w:bCs/>
        </w:rPr>
      </w:pPr>
      <w:r w:rsidRPr="005F2C03">
        <w:rPr>
          <w:rFonts w:cs="Arial"/>
          <w:b/>
          <w:bCs/>
        </w:rPr>
        <w:t xml:space="preserve">Tasa de Desempleo </w:t>
      </w:r>
      <w:r w:rsidRPr="005F2C03">
        <w:rPr>
          <w:rFonts w:cs="Arial"/>
          <w:vertAlign w:val="superscript"/>
        </w:rPr>
        <w:footnoteReference w:id="7"/>
      </w:r>
    </w:p>
    <w:p w14:paraId="17D90838" w14:textId="77777777" w:rsidR="00E76556" w:rsidRPr="005F2C03" w:rsidRDefault="00E76556" w:rsidP="00E76556">
      <w:pPr>
        <w:ind w:left="284" w:right="191"/>
        <w:jc w:val="both"/>
        <w:rPr>
          <w:rFonts w:cs="Arial"/>
          <w:b/>
        </w:rPr>
      </w:pPr>
    </w:p>
    <w:p w14:paraId="7C1CF89F" w14:textId="77777777" w:rsidR="00E76556" w:rsidRPr="005F2C03" w:rsidRDefault="00E76556" w:rsidP="00E76556">
      <w:pPr>
        <w:jc w:val="both"/>
        <w:rPr>
          <w:rFonts w:cs="Arial"/>
        </w:rPr>
      </w:pPr>
      <w:r w:rsidRPr="005F2C03">
        <w:rPr>
          <w:rFonts w:cs="Arial"/>
        </w:rPr>
        <w:t>El DANE, mediante La Gran Encuesta Integrada de Hogares (GEIH) tiene como objetivo principal proporcionar información básica sobre el tamaño y estructura de la fuerza de trabajo del país (empleo, desempleo e inactividad), así como de las características sociodemográficas que permiten caracterizar a la población según sexo, edad, parentesco con el jefe del hogar, nivel educativo, la afiliación al sistema de seguridad social en salud, entre otros.</w:t>
      </w:r>
    </w:p>
    <w:p w14:paraId="7E7AF95F" w14:textId="77777777" w:rsidR="00E76556" w:rsidRPr="005F2C03" w:rsidRDefault="00E76556" w:rsidP="00E76556">
      <w:pPr>
        <w:jc w:val="both"/>
        <w:rPr>
          <w:rFonts w:cs="Arial"/>
        </w:rPr>
      </w:pPr>
    </w:p>
    <w:p w14:paraId="0E6F240E" w14:textId="77777777" w:rsidR="001D21F6" w:rsidRPr="005F2C03" w:rsidRDefault="001D21F6" w:rsidP="001D21F6">
      <w:pPr>
        <w:jc w:val="both"/>
        <w:rPr>
          <w:rFonts w:cs="Arial"/>
        </w:rPr>
      </w:pPr>
      <w:r w:rsidRPr="005F2C03">
        <w:rPr>
          <w:rFonts w:cs="Arial"/>
        </w:rPr>
        <w:t>Igualmente, a través de la encuesta se clasifica a las personas según su fuerza de trabajo en ocupadas, desocupadas o inactivas. De esta forma, es posible estimar los principales indicadores del mercado laboral colombiano, como son la Tasa Global de Participación (TGP), la Tasa de Ocupación (TO) y la Tasa de Desempleo (TD).</w:t>
      </w:r>
    </w:p>
    <w:p w14:paraId="58C6D459" w14:textId="77777777" w:rsidR="001D21F6" w:rsidRPr="005F2C03" w:rsidRDefault="001D21F6" w:rsidP="001D21F6">
      <w:pPr>
        <w:jc w:val="both"/>
        <w:rPr>
          <w:rFonts w:cs="Arial"/>
        </w:rPr>
      </w:pPr>
    </w:p>
    <w:p w14:paraId="5ECD3B10" w14:textId="3D9AB6D2" w:rsidR="001D21F6" w:rsidRPr="005F2C03" w:rsidRDefault="001D21F6" w:rsidP="001D21F6">
      <w:pPr>
        <w:jc w:val="center"/>
        <w:rPr>
          <w:rFonts w:cs="Arial"/>
        </w:rPr>
      </w:pPr>
      <w:r w:rsidRPr="005F2C03">
        <w:rPr>
          <w:rFonts w:cs="Arial"/>
          <w:noProof/>
        </w:rPr>
        <w:lastRenderedPageBreak/>
        <w:drawing>
          <wp:inline distT="0" distB="0" distL="0" distR="0" wp14:anchorId="28336633" wp14:editId="277B3B32">
            <wp:extent cx="4600575" cy="2200275"/>
            <wp:effectExtent l="0" t="0" r="9525" b="9525"/>
            <wp:docPr id="12587731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2200275"/>
                    </a:xfrm>
                    <a:prstGeom prst="rect">
                      <a:avLst/>
                    </a:prstGeom>
                    <a:noFill/>
                    <a:ln>
                      <a:noFill/>
                    </a:ln>
                  </pic:spPr>
                </pic:pic>
              </a:graphicData>
            </a:graphic>
          </wp:inline>
        </w:drawing>
      </w:r>
    </w:p>
    <w:p w14:paraId="025FC1C3" w14:textId="77777777" w:rsidR="001D21F6" w:rsidRPr="005F2C03" w:rsidRDefault="001D21F6" w:rsidP="001D21F6">
      <w:pPr>
        <w:jc w:val="center"/>
        <w:rPr>
          <w:rFonts w:cs="Arial"/>
          <w:sz w:val="16"/>
          <w:szCs w:val="16"/>
        </w:rPr>
      </w:pPr>
      <w:r w:rsidRPr="005F2C03">
        <w:rPr>
          <w:rFonts w:cs="Arial"/>
          <w:sz w:val="16"/>
          <w:szCs w:val="16"/>
        </w:rPr>
        <w:t>Fuente: DANE – Gran Encuesta Integrada de Hogares (GEIH) – Boletín técnico 31 de mayo de 2024</w:t>
      </w:r>
    </w:p>
    <w:p w14:paraId="2E990D5D" w14:textId="77777777" w:rsidR="001D21F6" w:rsidRPr="005F2C03" w:rsidRDefault="001D21F6" w:rsidP="001D21F6">
      <w:pPr>
        <w:jc w:val="both"/>
        <w:rPr>
          <w:rFonts w:cs="Arial"/>
          <w:sz w:val="20"/>
          <w:szCs w:val="20"/>
        </w:rPr>
      </w:pPr>
    </w:p>
    <w:p w14:paraId="40A2731E" w14:textId="77777777" w:rsidR="001D21F6" w:rsidRPr="005F2C03" w:rsidRDefault="001D21F6" w:rsidP="001D21F6">
      <w:pPr>
        <w:jc w:val="both"/>
        <w:rPr>
          <w:rFonts w:cs="Arial"/>
        </w:rPr>
      </w:pPr>
      <w:r w:rsidRPr="005F2C03">
        <w:rPr>
          <w:rFonts w:cs="Arial"/>
        </w:rPr>
        <w:t>Para el mes de abril de 2024</w:t>
      </w:r>
      <w:r w:rsidRPr="005F2C03">
        <w:t xml:space="preserve"> </w:t>
      </w:r>
      <w:r w:rsidRPr="005F2C03">
        <w:rPr>
          <w:rFonts w:cs="Arial"/>
        </w:rPr>
        <w:t>la tasa de desocupación del total nacional fue 10,6%, mientras que en abril de 2023 fue 10,7%. Por su parte, la tasa global de participación se ubicó en 64,0% y la tasa de ocupación en 57,2%. En el mismo mes del año anterior, estas tasas fueron 64,6% y 57,7%, respectivamente.</w:t>
      </w:r>
    </w:p>
    <w:p w14:paraId="33271792" w14:textId="77777777" w:rsidR="001D21F6" w:rsidRPr="005F2C03" w:rsidRDefault="001D21F6" w:rsidP="001D21F6">
      <w:pPr>
        <w:jc w:val="both"/>
        <w:rPr>
          <w:rFonts w:cs="Arial"/>
        </w:rPr>
      </w:pPr>
    </w:p>
    <w:p w14:paraId="7DC0156D" w14:textId="5034BFE4" w:rsidR="001D21F6" w:rsidRPr="005F2C03" w:rsidRDefault="001D21F6" w:rsidP="001D21F6">
      <w:pPr>
        <w:jc w:val="center"/>
        <w:rPr>
          <w:rFonts w:cs="Arial"/>
        </w:rPr>
      </w:pPr>
      <w:r w:rsidRPr="005F2C03">
        <w:rPr>
          <w:rFonts w:cs="Arial"/>
          <w:noProof/>
        </w:rPr>
        <w:drawing>
          <wp:inline distT="0" distB="0" distL="0" distR="0" wp14:anchorId="56E48493" wp14:editId="729B706B">
            <wp:extent cx="4181475" cy="2352675"/>
            <wp:effectExtent l="0" t="0" r="9525" b="9525"/>
            <wp:docPr id="14706444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2352675"/>
                    </a:xfrm>
                    <a:prstGeom prst="rect">
                      <a:avLst/>
                    </a:prstGeom>
                    <a:noFill/>
                    <a:ln>
                      <a:noFill/>
                    </a:ln>
                  </pic:spPr>
                </pic:pic>
              </a:graphicData>
            </a:graphic>
          </wp:inline>
        </w:drawing>
      </w:r>
    </w:p>
    <w:p w14:paraId="4D02EB30" w14:textId="77777777" w:rsidR="001D21F6" w:rsidRPr="005F2C03" w:rsidRDefault="001D21F6" w:rsidP="001D21F6">
      <w:pPr>
        <w:jc w:val="center"/>
        <w:rPr>
          <w:rFonts w:cs="Arial"/>
          <w:sz w:val="16"/>
          <w:szCs w:val="16"/>
        </w:rPr>
      </w:pPr>
      <w:r w:rsidRPr="005F2C03">
        <w:rPr>
          <w:rFonts w:cs="Arial"/>
          <w:sz w:val="16"/>
          <w:szCs w:val="16"/>
        </w:rPr>
        <w:t>Fuente: DANE – Gran Encuesta Integrada de Hogares (GEIH) – Boletín técnico 31 de mayo de 2024</w:t>
      </w:r>
    </w:p>
    <w:p w14:paraId="04055C32" w14:textId="77777777" w:rsidR="001D21F6" w:rsidRPr="005F2C03" w:rsidRDefault="001D21F6" w:rsidP="001D21F6">
      <w:pPr>
        <w:jc w:val="center"/>
        <w:rPr>
          <w:rFonts w:cs="Arial"/>
          <w:sz w:val="20"/>
          <w:szCs w:val="20"/>
        </w:rPr>
      </w:pPr>
    </w:p>
    <w:p w14:paraId="5CAE8FC7" w14:textId="77777777" w:rsidR="001D21F6" w:rsidRPr="005F2C03" w:rsidRDefault="001D21F6" w:rsidP="001D21F6">
      <w:pPr>
        <w:jc w:val="both"/>
        <w:rPr>
          <w:rFonts w:cs="Arial"/>
        </w:rPr>
      </w:pPr>
      <w:r w:rsidRPr="005F2C03">
        <w:rPr>
          <w:rFonts w:cs="Arial"/>
        </w:rPr>
        <w:t>En el mes de abril de 2024, el número de personas ocupadas en el total nacional fue 22.865 miles de personas. Las ramas que más aportaron positivamente a la variación de la población ocupada con 0,3 puntos porcentuales cada una fueron: Actividades financieras y de seguros; Actividades profesionales, científicas, técnicas y servicios administrativos; y Alojamiento y servicios de comida.</w:t>
      </w:r>
    </w:p>
    <w:p w14:paraId="2FCEA62D" w14:textId="77777777" w:rsidR="001D21F6" w:rsidRPr="005F2C03" w:rsidRDefault="001D21F6" w:rsidP="001D21F6">
      <w:pPr>
        <w:jc w:val="center"/>
        <w:rPr>
          <w:rFonts w:cs="Arial"/>
        </w:rPr>
      </w:pPr>
    </w:p>
    <w:p w14:paraId="25C9E0DE" w14:textId="59FFC72D" w:rsidR="001D21F6" w:rsidRPr="005F2C03" w:rsidRDefault="001D21F6" w:rsidP="001D21F6">
      <w:pPr>
        <w:jc w:val="center"/>
        <w:rPr>
          <w:rFonts w:cs="Arial"/>
        </w:rPr>
      </w:pPr>
      <w:r w:rsidRPr="005F2C03">
        <w:rPr>
          <w:rFonts w:cs="Arial"/>
          <w:noProof/>
        </w:rPr>
        <w:lastRenderedPageBreak/>
        <w:drawing>
          <wp:inline distT="0" distB="0" distL="0" distR="0" wp14:anchorId="17BED146" wp14:editId="0EB1E736">
            <wp:extent cx="3981450" cy="2400300"/>
            <wp:effectExtent l="0" t="0" r="0" b="0"/>
            <wp:docPr id="19458085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1450" cy="2400300"/>
                    </a:xfrm>
                    <a:prstGeom prst="rect">
                      <a:avLst/>
                    </a:prstGeom>
                    <a:noFill/>
                    <a:ln>
                      <a:noFill/>
                    </a:ln>
                  </pic:spPr>
                </pic:pic>
              </a:graphicData>
            </a:graphic>
          </wp:inline>
        </w:drawing>
      </w:r>
    </w:p>
    <w:p w14:paraId="4CC47A4B" w14:textId="77777777" w:rsidR="001D21F6" w:rsidRPr="005F2C03" w:rsidRDefault="001D21F6" w:rsidP="001D21F6">
      <w:pPr>
        <w:jc w:val="center"/>
        <w:rPr>
          <w:rFonts w:cs="Arial"/>
          <w:sz w:val="16"/>
          <w:szCs w:val="16"/>
        </w:rPr>
      </w:pPr>
      <w:r w:rsidRPr="005F2C03">
        <w:rPr>
          <w:rFonts w:cs="Arial"/>
          <w:sz w:val="16"/>
          <w:szCs w:val="16"/>
        </w:rPr>
        <w:t>Fuente: DANE – Gran Encuesta Integrada de Hogares (GEIH) – Boletín técnico 31 de mayo de 2024</w:t>
      </w:r>
    </w:p>
    <w:p w14:paraId="5D34A452" w14:textId="77777777" w:rsidR="00E76556" w:rsidRPr="005F2C03" w:rsidRDefault="00E76556" w:rsidP="00E76556">
      <w:pPr>
        <w:jc w:val="center"/>
        <w:rPr>
          <w:rFonts w:cs="Arial"/>
        </w:rPr>
      </w:pPr>
    </w:p>
    <w:p w14:paraId="4790C9C3" w14:textId="77777777" w:rsidR="00E76556" w:rsidRPr="005F2C03" w:rsidRDefault="00E76556">
      <w:pPr>
        <w:pStyle w:val="Prrafodelista"/>
        <w:numPr>
          <w:ilvl w:val="0"/>
          <w:numId w:val="8"/>
        </w:numPr>
        <w:jc w:val="both"/>
        <w:rPr>
          <w:rFonts w:cs="Arial"/>
          <w:b/>
        </w:rPr>
      </w:pPr>
      <w:r w:rsidRPr="005F2C03">
        <w:rPr>
          <w:rFonts w:cs="Arial"/>
          <w:b/>
        </w:rPr>
        <w:t>Tasa Representativa del Mercado (TRM - Peso por dólar)</w:t>
      </w:r>
      <w:r w:rsidRPr="005F2C03">
        <w:rPr>
          <w:rFonts w:cs="Arial"/>
          <w:vertAlign w:val="superscript"/>
        </w:rPr>
        <w:footnoteReference w:id="8"/>
      </w:r>
    </w:p>
    <w:p w14:paraId="18990DDE" w14:textId="77777777" w:rsidR="00E76556" w:rsidRPr="005F2C03" w:rsidRDefault="00E76556" w:rsidP="00E76556">
      <w:pPr>
        <w:pStyle w:val="Prrafodelista"/>
        <w:jc w:val="both"/>
        <w:rPr>
          <w:rFonts w:cs="Arial"/>
          <w:b/>
        </w:rPr>
      </w:pPr>
    </w:p>
    <w:p w14:paraId="42B5B0D3" w14:textId="77777777" w:rsidR="00E76556" w:rsidRPr="005F2C03" w:rsidRDefault="00E76556" w:rsidP="00E76556">
      <w:pPr>
        <w:jc w:val="both"/>
        <w:rPr>
          <w:rFonts w:cs="Arial"/>
        </w:rPr>
      </w:pPr>
      <w:r w:rsidRPr="005F2C03">
        <w:rPr>
          <w:rFonts w:cs="Arial"/>
        </w:rPr>
        <w:t>La tasa de cambio representativa del mercado (TRM) es la cantidad de pesos colombianos por un dólar de los Estados Unidos. La TRM se calcula con base en las operaciones de compra y venta de divisas entre intermediarios financieros que transan en el mercado cambiario colombiano, con cumplimiento el mismo día cuando se realiza la negociación de las divisas.</w:t>
      </w:r>
    </w:p>
    <w:p w14:paraId="4F4D6AD0" w14:textId="77777777" w:rsidR="00E76556" w:rsidRPr="005F2C03" w:rsidRDefault="00E76556" w:rsidP="00E76556">
      <w:pPr>
        <w:jc w:val="both"/>
        <w:rPr>
          <w:rFonts w:cs="Arial"/>
        </w:rPr>
      </w:pPr>
    </w:p>
    <w:p w14:paraId="6807976F" w14:textId="77777777" w:rsidR="00E76556" w:rsidRPr="005F2C03" w:rsidRDefault="00E76556" w:rsidP="00E76556">
      <w:pPr>
        <w:jc w:val="both"/>
        <w:rPr>
          <w:rFonts w:cs="Arial"/>
          <w:i/>
          <w:iCs/>
        </w:rPr>
      </w:pPr>
      <w:r w:rsidRPr="005F2C03">
        <w:rPr>
          <w:rFonts w:cs="Arial"/>
          <w:i/>
          <w:iCs/>
        </w:rPr>
        <w:t xml:space="preserve">Igual que el precio de cualquier producto, la tasa de cambio sube o baja dependiendo de la oferta y la demanda. Cuando la oferta es mayor que la demanda, es decir, hay abundancia de dólares en el mercado y pocos compradores, la tasa de cambio baja; y cuando hay menos oferta que demanda (hay escasez de dólares y muchos compradores), la tasa de cambio sube”. </w:t>
      </w:r>
    </w:p>
    <w:p w14:paraId="0649706B" w14:textId="77777777" w:rsidR="00E76556" w:rsidRPr="005F2C03" w:rsidRDefault="00E76556" w:rsidP="00E76556">
      <w:pPr>
        <w:jc w:val="both"/>
        <w:rPr>
          <w:rFonts w:cs="Arial"/>
          <w:i/>
          <w:iCs/>
        </w:rPr>
      </w:pPr>
    </w:p>
    <w:p w14:paraId="4A6A6C59" w14:textId="77777777" w:rsidR="00E76556" w:rsidRPr="005F2C03" w:rsidRDefault="00E76556" w:rsidP="00E76556">
      <w:pPr>
        <w:jc w:val="both"/>
        <w:rPr>
          <w:rFonts w:cs="Arial"/>
          <w:i/>
          <w:iCs/>
        </w:rPr>
      </w:pPr>
      <w:r w:rsidRPr="005F2C03">
        <w:rPr>
          <w:rFonts w:cs="Arial"/>
          <w:i/>
          <w:iCs/>
        </w:rPr>
        <w:t>Colombia actualmente tiene adoptado el régimen de tasa de cambio flexible, es decir que la misma fluctúa según la oferta y la demanda de divisas en el mercado.</w:t>
      </w:r>
    </w:p>
    <w:p w14:paraId="6FCB6400" w14:textId="77777777" w:rsidR="00E76556" w:rsidRPr="005F2C03" w:rsidRDefault="00E76556" w:rsidP="00E76556">
      <w:pPr>
        <w:jc w:val="both"/>
        <w:rPr>
          <w:rFonts w:cs="Arial"/>
          <w:i/>
          <w:iCs/>
        </w:rPr>
      </w:pPr>
    </w:p>
    <w:p w14:paraId="68C853C0" w14:textId="77777777" w:rsidR="00E76556" w:rsidRPr="005F2C03" w:rsidRDefault="00E76556" w:rsidP="00E76556">
      <w:pPr>
        <w:jc w:val="both"/>
        <w:rPr>
          <w:rFonts w:cs="Arial"/>
          <w:i/>
          <w:iCs/>
        </w:rPr>
      </w:pPr>
      <w:r w:rsidRPr="005F2C03">
        <w:rPr>
          <w:rFonts w:cs="Arial"/>
          <w:i/>
          <w:iCs/>
        </w:rPr>
        <w:t xml:space="preserve">La Superintendencia Financiera de Colombia tiene la obligación de calcular y certificar la TRM y divulgar al mercado y al público en general, conforme a lo dispuesto en el artículo 40 de la Resolución Externa No. 1 de 2018, expedida por la Junta Directiva del Banco de la República. </w:t>
      </w:r>
    </w:p>
    <w:p w14:paraId="6841E169" w14:textId="77777777" w:rsidR="00E76556" w:rsidRPr="005F2C03" w:rsidRDefault="00E76556" w:rsidP="00E76556">
      <w:pPr>
        <w:jc w:val="both"/>
        <w:rPr>
          <w:rFonts w:cs="Arial"/>
          <w:i/>
          <w:iCs/>
        </w:rPr>
      </w:pPr>
    </w:p>
    <w:p w14:paraId="4271723B" w14:textId="77777777" w:rsidR="00E76556" w:rsidRPr="005F2C03" w:rsidRDefault="00E76556" w:rsidP="00E76556">
      <w:pPr>
        <w:jc w:val="both"/>
        <w:rPr>
          <w:rFonts w:cs="Arial"/>
        </w:rPr>
      </w:pPr>
      <w:r w:rsidRPr="005F2C03">
        <w:rPr>
          <w:rFonts w:cs="Arial"/>
        </w:rPr>
        <w:t>La metodología utilizada por el Banco de la República para el cálculo de la TRM se encuentra establecida en la Circular Reglamentaria DODM – 146 de 2015, en cumplimiento de los mandatos constitucionales y legales establecidos para tal fin.</w:t>
      </w:r>
    </w:p>
    <w:p w14:paraId="1538094B" w14:textId="77777777" w:rsidR="00E76556" w:rsidRPr="005F2C03" w:rsidRDefault="00E76556" w:rsidP="00E76556">
      <w:pPr>
        <w:jc w:val="both"/>
        <w:rPr>
          <w:rFonts w:cs="Arial"/>
        </w:rPr>
      </w:pPr>
    </w:p>
    <w:p w14:paraId="21C93D24" w14:textId="77777777" w:rsidR="00E76556" w:rsidRPr="005F2C03" w:rsidRDefault="00E76556" w:rsidP="00E76556">
      <w:pPr>
        <w:jc w:val="both"/>
        <w:rPr>
          <w:rFonts w:cs="Arial"/>
        </w:rPr>
      </w:pPr>
      <w:r w:rsidRPr="005F2C03">
        <w:rPr>
          <w:rFonts w:cs="Arial"/>
        </w:rPr>
        <w:lastRenderedPageBreak/>
        <w:t>La tasa de cambio representativa del mercado (TRM) es la cantidad de pesos colombianos por un dólar de los Estados Unidos de América. Este indicador se calcula con base en las operaciones de compra y venta de divisas entre intermediarios financieros que transan en el mercado cambiario colombiano, con cumplimiento el mismo día cuando se realiza la negociación de las divisas.</w:t>
      </w:r>
    </w:p>
    <w:p w14:paraId="403B5F13" w14:textId="77777777" w:rsidR="00E76556" w:rsidRPr="005F2C03" w:rsidRDefault="00E76556" w:rsidP="00E76556">
      <w:pPr>
        <w:jc w:val="both"/>
        <w:rPr>
          <w:rFonts w:cs="Arial"/>
        </w:rPr>
      </w:pPr>
    </w:p>
    <w:p w14:paraId="01D1B785" w14:textId="77777777" w:rsidR="001D21F6" w:rsidRPr="005F2C03" w:rsidRDefault="001D21F6" w:rsidP="001D21F6">
      <w:pPr>
        <w:jc w:val="both"/>
        <w:rPr>
          <w:rFonts w:cs="Arial"/>
        </w:rPr>
      </w:pPr>
      <w:r w:rsidRPr="005F2C03">
        <w:rPr>
          <w:rFonts w:cs="Arial"/>
        </w:rPr>
        <w:t>La siguiente es la representación gráfica sobre el comportamiento que la TRM ha registrado en el último semestre.</w:t>
      </w:r>
    </w:p>
    <w:p w14:paraId="657A1286" w14:textId="77777777" w:rsidR="001D21F6" w:rsidRPr="005F2C03" w:rsidRDefault="001D21F6" w:rsidP="001D21F6">
      <w:pPr>
        <w:jc w:val="both"/>
        <w:rPr>
          <w:rFonts w:cs="Arial"/>
        </w:rPr>
      </w:pPr>
    </w:p>
    <w:p w14:paraId="17259B24" w14:textId="275B24BF" w:rsidR="001D21F6" w:rsidRPr="005F2C03" w:rsidRDefault="001D21F6" w:rsidP="001D21F6">
      <w:pPr>
        <w:jc w:val="center"/>
        <w:rPr>
          <w:rFonts w:cs="Arial"/>
        </w:rPr>
      </w:pPr>
      <w:r w:rsidRPr="005F2C03">
        <w:rPr>
          <w:rFonts w:cs="Arial"/>
          <w:noProof/>
        </w:rPr>
        <w:drawing>
          <wp:inline distT="0" distB="0" distL="0" distR="0" wp14:anchorId="613D256D" wp14:editId="228D7200">
            <wp:extent cx="5612130" cy="2277745"/>
            <wp:effectExtent l="0" t="0" r="7620" b="8255"/>
            <wp:docPr id="165787969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277745"/>
                    </a:xfrm>
                    <a:prstGeom prst="rect">
                      <a:avLst/>
                    </a:prstGeom>
                    <a:noFill/>
                    <a:ln>
                      <a:noFill/>
                    </a:ln>
                  </pic:spPr>
                </pic:pic>
              </a:graphicData>
            </a:graphic>
          </wp:inline>
        </w:drawing>
      </w:r>
    </w:p>
    <w:p w14:paraId="39DA2F6C" w14:textId="18BD733F" w:rsidR="00B93191" w:rsidRPr="005F2C03" w:rsidRDefault="001D21F6" w:rsidP="001D21F6">
      <w:pPr>
        <w:jc w:val="center"/>
        <w:textAlignment w:val="baseline"/>
        <w:rPr>
          <w:rFonts w:cs="Arial"/>
          <w:sz w:val="18"/>
          <w:szCs w:val="18"/>
        </w:rPr>
      </w:pPr>
      <w:r w:rsidRPr="005F2C03">
        <w:rPr>
          <w:rFonts w:cs="Arial"/>
          <w:sz w:val="18"/>
          <w:szCs w:val="18"/>
        </w:rPr>
        <w:t>Fuente: https://www.dolar-colombia.com/grafica?num=180    – Tasa de Cambio Representativa del Mercado</w:t>
      </w:r>
    </w:p>
    <w:p w14:paraId="29D5E30F" w14:textId="77777777" w:rsidR="001D21F6" w:rsidRPr="005F2C03" w:rsidRDefault="001D21F6" w:rsidP="001D21F6">
      <w:pPr>
        <w:jc w:val="center"/>
        <w:textAlignment w:val="baseline"/>
        <w:rPr>
          <w:rFonts w:eastAsia="Calibri"/>
          <w:bCs/>
        </w:rPr>
      </w:pPr>
    </w:p>
    <w:p w14:paraId="2B816A25" w14:textId="78636C77" w:rsidR="001D21F6" w:rsidRPr="005F2C03" w:rsidRDefault="001D21F6" w:rsidP="001D21F6">
      <w:pPr>
        <w:pStyle w:val="NormalWeb"/>
        <w:spacing w:before="0" w:after="0"/>
        <w:jc w:val="center"/>
        <w:rPr>
          <w:rFonts w:ascii="Arial Narrow" w:eastAsia="Arial Unicode MS" w:hAnsi="Arial Narrow" w:cs="Arial"/>
          <w:b/>
          <w:bCs/>
          <w:i w:val="0"/>
          <w:iCs w:val="0"/>
          <w:szCs w:val="22"/>
          <w:lang w:eastAsia="es-ES"/>
        </w:rPr>
      </w:pPr>
      <w:r w:rsidRPr="005F2C03">
        <w:rPr>
          <w:rFonts w:ascii="Arial Narrow" w:eastAsia="Arial Unicode MS" w:hAnsi="Arial Narrow" w:cs="Arial"/>
          <w:b/>
          <w:bCs/>
          <w:i w:val="0"/>
          <w:iCs w:val="0"/>
          <w:szCs w:val="22"/>
          <w:lang w:eastAsia="es-ES"/>
        </w:rPr>
        <w:t>CAPÍTULO IV</w:t>
      </w:r>
    </w:p>
    <w:p w14:paraId="27DFD0EE" w14:textId="77777777" w:rsidR="001D21F6" w:rsidRPr="005F2C03" w:rsidRDefault="001D21F6" w:rsidP="001D21F6">
      <w:pPr>
        <w:pStyle w:val="NormalWeb"/>
        <w:spacing w:before="0" w:after="0"/>
        <w:jc w:val="center"/>
        <w:rPr>
          <w:rFonts w:ascii="Arial Narrow" w:eastAsia="Arial Unicode MS" w:hAnsi="Arial Narrow" w:cs="Arial"/>
          <w:b/>
          <w:bCs/>
          <w:i w:val="0"/>
          <w:iCs w:val="0"/>
          <w:szCs w:val="22"/>
          <w:lang w:eastAsia="es-ES"/>
        </w:rPr>
      </w:pPr>
      <w:r w:rsidRPr="005F2C03">
        <w:rPr>
          <w:rFonts w:ascii="Arial Narrow" w:eastAsia="Arial Unicode MS" w:hAnsi="Arial Narrow" w:cs="Arial"/>
          <w:b/>
          <w:bCs/>
          <w:i w:val="0"/>
          <w:iCs w:val="0"/>
          <w:szCs w:val="22"/>
          <w:lang w:eastAsia="es-ES"/>
        </w:rPr>
        <w:t>ANÁLISIS DE LA OFERTA</w:t>
      </w:r>
    </w:p>
    <w:p w14:paraId="2D5AE77C" w14:textId="505F0BFB" w:rsidR="00946160" w:rsidRPr="005F2C03" w:rsidRDefault="00946160" w:rsidP="00946160">
      <w:pPr>
        <w:pStyle w:val="NormalWeb"/>
        <w:spacing w:before="0" w:after="0"/>
        <w:jc w:val="both"/>
        <w:rPr>
          <w:rFonts w:ascii="Arial Narrow" w:eastAsia="Arial Unicode MS" w:hAnsi="Arial Narrow" w:cs="Arial"/>
          <w:i w:val="0"/>
          <w:iCs w:val="0"/>
          <w:szCs w:val="22"/>
          <w:lang w:val="es-ES_tradnl" w:eastAsia="es-ES"/>
        </w:rPr>
      </w:pPr>
      <w:r w:rsidRPr="005F2C03">
        <w:rPr>
          <w:rFonts w:ascii="Arial Narrow" w:eastAsia="Arial Unicode MS" w:hAnsi="Arial Narrow" w:cs="Arial"/>
          <w:i w:val="0"/>
          <w:iCs w:val="0"/>
          <w:szCs w:val="22"/>
          <w:lang w:val="es-ES" w:eastAsia="es-ES"/>
        </w:rPr>
        <w:t xml:space="preserve">El sector asegurador se encuentra segmentado en dos grandes líneas, una de personas (vida) y otra de daños (generales), las cuales, a pesar de sus semejanzas, tienen particularidades que las hacen especiales y son la base de cualquier ejercicio prospectivo del sector. </w:t>
      </w:r>
      <w:r w:rsidRPr="005F2C03">
        <w:rPr>
          <w:rFonts w:ascii="Arial Narrow" w:eastAsia="Arial Unicode MS" w:hAnsi="Arial Narrow" w:cs="Arial"/>
          <w:i w:val="0"/>
          <w:iCs w:val="0"/>
          <w:color w:val="000000"/>
          <w:szCs w:val="22"/>
          <w:lang w:val="es-ES_tradnl" w:eastAsia="es-ES_tradnl"/>
        </w:rPr>
        <w:t>La suscripción de las pólizas del mercado asegurador en Colombia depende de las políticas de cada una de las Aseguradoras y de sus capacidades para contratar pólizas, cuya aprobación en la comercialización de ciertos productos, dependen de las autorizaciones que emita la Superintendencia Financiera de Colombia de los ramos que pueden suscribir, de allí́ que no todas las aseguradoras comercialicen las p</w:t>
      </w:r>
      <w:r w:rsidRPr="005F2C03">
        <w:rPr>
          <w:rFonts w:ascii="Arial Narrow" w:eastAsia="Arial Unicode MS" w:hAnsi="Arial Narrow" w:cs="Arial Narrow"/>
          <w:i w:val="0"/>
          <w:iCs w:val="0"/>
          <w:color w:val="000000"/>
          <w:szCs w:val="22"/>
          <w:lang w:val="es-ES_tradnl" w:eastAsia="es-ES_tradnl"/>
        </w:rPr>
        <w:t>ó</w:t>
      </w:r>
      <w:r w:rsidRPr="005F2C03">
        <w:rPr>
          <w:rFonts w:ascii="Arial Narrow" w:eastAsia="Arial Unicode MS" w:hAnsi="Arial Narrow" w:cs="Arial"/>
          <w:i w:val="0"/>
          <w:iCs w:val="0"/>
          <w:color w:val="000000"/>
          <w:szCs w:val="22"/>
          <w:lang w:val="es-ES_tradnl" w:eastAsia="es-ES_tradnl"/>
        </w:rPr>
        <w:t>lizas que requiere la ELC</w:t>
      </w:r>
      <w:r w:rsidRPr="005F2C03">
        <w:rPr>
          <w:rFonts w:ascii="Arial Narrow" w:eastAsia="Arial Unicode MS" w:hAnsi="Arial Narrow" w:cs="Arial"/>
          <w:i w:val="0"/>
          <w:iCs w:val="0"/>
          <w:szCs w:val="22"/>
          <w:lang w:val="es-ES_tradnl" w:eastAsia="es-ES"/>
        </w:rPr>
        <w:t>.</w:t>
      </w:r>
    </w:p>
    <w:p w14:paraId="37BD1BBB" w14:textId="77777777" w:rsidR="00946160" w:rsidRPr="005F2C03" w:rsidRDefault="00946160" w:rsidP="00946160">
      <w:pPr>
        <w:pStyle w:val="NormalWeb"/>
        <w:jc w:val="both"/>
        <w:rPr>
          <w:rFonts w:ascii="Arial Narrow" w:eastAsia="Arial Unicode MS" w:hAnsi="Arial Narrow" w:cs="Arial"/>
          <w:i w:val="0"/>
          <w:iCs w:val="0"/>
          <w:color w:val="000000"/>
          <w:szCs w:val="22"/>
          <w:lang w:val="es-ES_tradnl" w:eastAsia="es-ES"/>
        </w:rPr>
      </w:pPr>
      <w:r w:rsidRPr="005F2C03">
        <w:rPr>
          <w:rFonts w:ascii="Arial Narrow" w:eastAsia="Arial Unicode MS" w:hAnsi="Arial Narrow" w:cs="Arial"/>
          <w:i w:val="0"/>
          <w:iCs w:val="0"/>
          <w:color w:val="000000"/>
          <w:szCs w:val="22"/>
          <w:lang w:val="es-ES_tradnl" w:eastAsia="es-ES"/>
        </w:rPr>
        <w:t xml:space="preserve">El sector asegurador se encuentra segmentado en dos grandes líneas, una de personas (vida) y otra de daños (generales), las cuales, a pesar de sus semejanzas, tienen particularidades que las hacen especiales y son la base de cualquier ejercicio prospectivo del sector. </w:t>
      </w:r>
    </w:p>
    <w:p w14:paraId="6CDD93A5" w14:textId="77777777" w:rsidR="00946160" w:rsidRPr="005F2C03" w:rsidRDefault="00946160" w:rsidP="00946160">
      <w:pPr>
        <w:pStyle w:val="NormalWeb"/>
        <w:jc w:val="both"/>
        <w:rPr>
          <w:rFonts w:ascii="Arial Narrow" w:eastAsia="Arial Unicode MS" w:hAnsi="Arial Narrow" w:cs="Arial"/>
          <w:i w:val="0"/>
          <w:iCs w:val="0"/>
          <w:color w:val="000000"/>
          <w:szCs w:val="22"/>
          <w:lang w:val="es-ES_tradnl" w:eastAsia="es-ES"/>
        </w:rPr>
      </w:pPr>
      <w:r w:rsidRPr="005F2C03">
        <w:rPr>
          <w:rFonts w:ascii="Arial Narrow" w:eastAsia="Arial Unicode MS" w:hAnsi="Arial Narrow" w:cs="Arial"/>
          <w:i w:val="0"/>
          <w:iCs w:val="0"/>
          <w:color w:val="000000"/>
          <w:szCs w:val="22"/>
          <w:lang w:val="es-ES_tradnl" w:eastAsia="es-ES"/>
        </w:rPr>
        <w:lastRenderedPageBreak/>
        <w:t>Los seguros de daños: Están asociados a la protección del patrimonio o bienes y son, por lo general, productos de corto plazo, como el seguro del auto o el de incendio.</w:t>
      </w:r>
    </w:p>
    <w:p w14:paraId="0B76226C" w14:textId="77777777" w:rsidR="00946160" w:rsidRPr="005F2C03" w:rsidRDefault="00946160" w:rsidP="00946160">
      <w:pPr>
        <w:pStyle w:val="NormalWeb"/>
        <w:jc w:val="both"/>
        <w:rPr>
          <w:rFonts w:ascii="Arial Narrow" w:eastAsia="Arial Unicode MS" w:hAnsi="Arial Narrow" w:cs="Arial"/>
          <w:i w:val="0"/>
          <w:iCs w:val="0"/>
          <w:color w:val="000000"/>
          <w:szCs w:val="22"/>
          <w:lang w:val="es-ES_tradnl" w:eastAsia="es-ES"/>
        </w:rPr>
      </w:pPr>
      <w:r w:rsidRPr="005F2C03">
        <w:rPr>
          <w:rFonts w:ascii="Arial Narrow" w:eastAsia="Arial Unicode MS" w:hAnsi="Arial Narrow" w:cs="Arial"/>
          <w:i w:val="0"/>
          <w:iCs w:val="0"/>
          <w:color w:val="000000"/>
          <w:szCs w:val="22"/>
          <w:lang w:val="es-ES_tradnl" w:eastAsia="es-ES"/>
        </w:rPr>
        <w:t>Dentro de esta categoría se encuentran los seguros que tienen como finalidad principal reparar la pérdida que un asegurado puede sufrir en su patrimonio como consecuencia de un siniestro.</w:t>
      </w:r>
    </w:p>
    <w:p w14:paraId="4E1337EA" w14:textId="77777777" w:rsidR="00946160" w:rsidRPr="005F2C03" w:rsidRDefault="00946160" w:rsidP="00946160">
      <w:pPr>
        <w:pStyle w:val="NormalWeb"/>
        <w:jc w:val="both"/>
        <w:rPr>
          <w:rFonts w:ascii="Arial Narrow" w:eastAsia="Arial Unicode MS" w:hAnsi="Arial Narrow" w:cs="Arial"/>
          <w:i w:val="0"/>
          <w:iCs w:val="0"/>
          <w:color w:val="000000"/>
          <w:szCs w:val="22"/>
          <w:lang w:val="es-ES_tradnl" w:eastAsia="es-ES"/>
        </w:rPr>
      </w:pPr>
      <w:r w:rsidRPr="005F2C03">
        <w:rPr>
          <w:rFonts w:ascii="Arial Narrow" w:eastAsia="Arial Unicode MS" w:hAnsi="Arial Narrow" w:cs="Arial"/>
          <w:i w:val="0"/>
          <w:iCs w:val="0"/>
          <w:color w:val="000000"/>
          <w:szCs w:val="22"/>
          <w:lang w:val="es-ES_tradnl" w:eastAsia="es-ES"/>
        </w:rPr>
        <w:t>Los seguros de daños se dividen en dos grandes grupos:</w:t>
      </w:r>
    </w:p>
    <w:p w14:paraId="5254EC11" w14:textId="77777777" w:rsidR="00946160" w:rsidRPr="005F2C03" w:rsidRDefault="00946160">
      <w:pPr>
        <w:pStyle w:val="NormalWeb"/>
        <w:keepNext/>
        <w:numPr>
          <w:ilvl w:val="0"/>
          <w:numId w:val="10"/>
        </w:numPr>
        <w:spacing w:line="256" w:lineRule="auto"/>
        <w:contextualSpacing/>
        <w:jc w:val="both"/>
        <w:rPr>
          <w:rFonts w:ascii="Arial Narrow" w:eastAsia="Arial Unicode MS" w:hAnsi="Arial Narrow" w:cs="Arial"/>
          <w:i w:val="0"/>
          <w:iCs w:val="0"/>
          <w:color w:val="000000"/>
          <w:szCs w:val="22"/>
          <w:lang w:val="es-ES_tradnl" w:eastAsia="es-ES"/>
        </w:rPr>
      </w:pPr>
      <w:r w:rsidRPr="005F2C03">
        <w:rPr>
          <w:rFonts w:ascii="Arial Narrow" w:eastAsia="Arial Unicode MS" w:hAnsi="Arial Narrow" w:cs="Arial"/>
          <w:i w:val="0"/>
          <w:iCs w:val="0"/>
          <w:color w:val="000000"/>
          <w:szCs w:val="22"/>
          <w:lang w:val="es-ES_tradnl" w:eastAsia="es-ES"/>
        </w:rPr>
        <w:t>Reales: Seguros de cosas, destinados a indemnizar al asegurado por las pérdidas materiales directamente sufridas en un bien de su patrimonio.</w:t>
      </w:r>
    </w:p>
    <w:p w14:paraId="28EF9EF5" w14:textId="77777777" w:rsidR="00A30C63" w:rsidRPr="005F2C03" w:rsidRDefault="00946160">
      <w:pPr>
        <w:pStyle w:val="NormalWeb"/>
        <w:keepNext/>
        <w:numPr>
          <w:ilvl w:val="0"/>
          <w:numId w:val="10"/>
        </w:numPr>
        <w:spacing w:line="256" w:lineRule="auto"/>
        <w:contextualSpacing/>
        <w:jc w:val="both"/>
        <w:rPr>
          <w:rFonts w:ascii="Arial Narrow" w:eastAsia="Arial Unicode MS" w:hAnsi="Arial Narrow" w:cs="Arial"/>
          <w:i w:val="0"/>
          <w:iCs w:val="0"/>
          <w:color w:val="000000"/>
          <w:szCs w:val="22"/>
          <w:lang w:val="es-ES_tradnl" w:eastAsia="es-ES"/>
        </w:rPr>
      </w:pPr>
      <w:r w:rsidRPr="005F2C03">
        <w:rPr>
          <w:rFonts w:ascii="Arial Narrow" w:eastAsia="Arial Unicode MS" w:hAnsi="Arial Narrow" w:cs="Arial"/>
          <w:i w:val="0"/>
          <w:iCs w:val="0"/>
          <w:color w:val="000000"/>
          <w:szCs w:val="22"/>
          <w:lang w:val="es-ES_tradnl" w:eastAsia="es-ES"/>
        </w:rPr>
        <w:t xml:space="preserve">Patrimoniales: Seguros de responsabilidad cuyo fin es garantizar al asegurado frente a la responsabilidad civil en que pueda incurrir ante terceros por actos de los que sea responsable y proteger, así, su patrimonio.          </w:t>
      </w:r>
    </w:p>
    <w:p w14:paraId="4107BFCD" w14:textId="77777777" w:rsidR="00A30C63" w:rsidRPr="005F2C03" w:rsidRDefault="00A30C63" w:rsidP="00A30C63">
      <w:pPr>
        <w:pStyle w:val="NormalWeb"/>
        <w:keepNext/>
        <w:spacing w:line="256" w:lineRule="auto"/>
        <w:contextualSpacing/>
        <w:jc w:val="both"/>
        <w:rPr>
          <w:rFonts w:ascii="Arial Narrow" w:eastAsia="Arial Unicode MS" w:hAnsi="Arial Narrow" w:cs="Arial"/>
          <w:i w:val="0"/>
          <w:iCs w:val="0"/>
          <w:color w:val="000000"/>
          <w:szCs w:val="22"/>
          <w:lang w:val="es-ES_tradnl" w:eastAsia="es-ES"/>
        </w:rPr>
      </w:pPr>
    </w:p>
    <w:p w14:paraId="5CACAF59" w14:textId="77777777" w:rsidR="00A30C63" w:rsidRPr="005F2C03" w:rsidRDefault="00A30C63" w:rsidP="00A30C63">
      <w:pPr>
        <w:pStyle w:val="NormalWeb"/>
        <w:keepNext/>
        <w:spacing w:line="256" w:lineRule="auto"/>
        <w:contextualSpacing/>
        <w:jc w:val="both"/>
        <w:rPr>
          <w:rFonts w:ascii="Arial Narrow" w:eastAsia="Arial Unicode MS" w:hAnsi="Arial Narrow" w:cs="Arial"/>
          <w:i w:val="0"/>
          <w:iCs w:val="0"/>
          <w:color w:val="000000"/>
          <w:szCs w:val="22"/>
          <w:lang w:val="es-ES_tradnl" w:eastAsia="es-ES"/>
        </w:rPr>
      </w:pPr>
      <w:r w:rsidRPr="005F2C03">
        <w:rPr>
          <w:rFonts w:ascii="Arial Narrow" w:hAnsi="Arial Narrow" w:cs="Arial"/>
          <w:i w:val="0"/>
          <w:iCs w:val="0"/>
          <w:color w:val="000000" w:themeColor="text1"/>
          <w:szCs w:val="22"/>
          <w:lang w:val="es-ES_tradnl"/>
        </w:rPr>
        <w:t>Dentro del presente análisis se determina QUIEN VENDE, es decir, que compañías de seguros en Colombia tiene aprobados los ramos de más comúnmente contratados por las Entidades Públicas, tanto para seguros de daños como para seguros de personas, aclarando que esta información puede ser modificada en cualquier momento bien sea porque la Compañía de Seguros radica, ante la Superintendencia Financiera de Colombia un nuevo ramo de seguros que no comercializa o por el contrario, decide no comercializar algún ramo que tenga aprobado.</w:t>
      </w:r>
    </w:p>
    <w:p w14:paraId="27DB6808" w14:textId="77777777" w:rsidR="00A30C63" w:rsidRPr="005F2C03" w:rsidRDefault="00A30C63" w:rsidP="00A30C63">
      <w:pPr>
        <w:pStyle w:val="NormalWeb"/>
        <w:keepNext/>
        <w:spacing w:line="256" w:lineRule="auto"/>
        <w:contextualSpacing/>
        <w:jc w:val="both"/>
        <w:rPr>
          <w:rFonts w:ascii="Arial Narrow" w:eastAsia="Arial Unicode MS" w:hAnsi="Arial Narrow" w:cs="Arial"/>
          <w:i w:val="0"/>
          <w:iCs w:val="0"/>
          <w:color w:val="000000"/>
          <w:szCs w:val="22"/>
          <w:lang w:val="es-ES_tradnl" w:eastAsia="es-ES"/>
        </w:rPr>
      </w:pPr>
    </w:p>
    <w:p w14:paraId="7F035444" w14:textId="67CFBEE6" w:rsidR="00A30C63" w:rsidRPr="005F2C03" w:rsidRDefault="00A30C63" w:rsidP="00A30C63">
      <w:pPr>
        <w:pStyle w:val="NormalWeb"/>
        <w:keepNext/>
        <w:spacing w:line="256" w:lineRule="auto"/>
        <w:contextualSpacing/>
        <w:jc w:val="both"/>
        <w:rPr>
          <w:rFonts w:ascii="Arial Narrow" w:eastAsia="Arial Unicode MS" w:hAnsi="Arial Narrow" w:cs="Arial"/>
          <w:i w:val="0"/>
          <w:iCs w:val="0"/>
          <w:color w:val="000000"/>
          <w:szCs w:val="22"/>
          <w:lang w:val="es-ES_tradnl" w:eastAsia="es-ES"/>
        </w:rPr>
      </w:pPr>
      <w:r w:rsidRPr="005F2C03">
        <w:rPr>
          <w:rFonts w:ascii="Arial Narrow" w:hAnsi="Arial Narrow" w:cs="Arial"/>
          <w:i w:val="0"/>
          <w:iCs w:val="0"/>
          <w:szCs w:val="22"/>
          <w:lang w:val="es-ES_tradnl"/>
        </w:rPr>
        <w:t>Actualmente, se encuentran autorizadas</w:t>
      </w:r>
      <w:r w:rsidRPr="005F2C03">
        <w:rPr>
          <w:rStyle w:val="Refdenotaalpie"/>
          <w:rFonts w:ascii="Arial Narrow" w:hAnsi="Arial Narrow" w:cs="Arial"/>
          <w:i w:val="0"/>
          <w:iCs w:val="0"/>
          <w:szCs w:val="22"/>
          <w:lang w:val="es-ES_tradnl"/>
        </w:rPr>
        <w:footnoteReference w:id="9"/>
      </w:r>
      <w:r w:rsidRPr="005F2C03">
        <w:rPr>
          <w:rFonts w:ascii="Arial Narrow" w:hAnsi="Arial Narrow" w:cs="Arial"/>
          <w:i w:val="0"/>
          <w:iCs w:val="0"/>
          <w:szCs w:val="22"/>
          <w:lang w:val="es-ES_tradnl"/>
        </w:rPr>
        <w:t xml:space="preserve"> para operar en Colombia 36</w:t>
      </w:r>
      <w:r w:rsidRPr="005F2C03">
        <w:rPr>
          <w:rStyle w:val="Refdenotaalpie"/>
          <w:rFonts w:ascii="Arial Narrow" w:hAnsi="Arial Narrow" w:cs="Arial"/>
          <w:i w:val="0"/>
          <w:iCs w:val="0"/>
          <w:szCs w:val="22"/>
          <w:lang w:val="es-ES_tradnl"/>
        </w:rPr>
        <w:footnoteReference w:id="10"/>
      </w:r>
      <w:r w:rsidRPr="005F2C03">
        <w:rPr>
          <w:rFonts w:ascii="Arial Narrow" w:hAnsi="Arial Narrow" w:cs="Arial"/>
          <w:i w:val="0"/>
          <w:iCs w:val="0"/>
          <w:szCs w:val="22"/>
          <w:lang w:val="es-ES_tradnl"/>
        </w:rPr>
        <w:t xml:space="preserve"> aseguradoras, por parte de la Superintendencia financiera de Colombia, compañías de seguros, con autorización para comercializar los ramos de seguros generales y de vida: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3837"/>
        <w:gridCol w:w="2691"/>
        <w:gridCol w:w="1829"/>
      </w:tblGrid>
      <w:tr w:rsidR="00A30C63" w:rsidRPr="005F2C03" w14:paraId="64F1C092" w14:textId="77777777" w:rsidTr="00BF5F29">
        <w:trPr>
          <w:tblHeader/>
        </w:trPr>
        <w:tc>
          <w:tcPr>
            <w:tcW w:w="26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9B3397" w14:textId="77777777" w:rsidR="00A30C63" w:rsidRPr="005F2C03" w:rsidRDefault="00A30C63">
            <w:pPr>
              <w:jc w:val="center"/>
              <w:rPr>
                <w:rFonts w:cs="Arial"/>
                <w:b/>
                <w:bCs/>
              </w:rPr>
            </w:pPr>
            <w:r w:rsidRPr="005F2C03">
              <w:rPr>
                <w:rFonts w:cs="Arial"/>
                <w:b/>
                <w:bCs/>
              </w:rPr>
              <w:t>No</w:t>
            </w:r>
          </w:p>
        </w:tc>
        <w:tc>
          <w:tcPr>
            <w:tcW w:w="217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16EEAA" w14:textId="77777777" w:rsidR="00A30C63" w:rsidRPr="005F2C03" w:rsidRDefault="00A30C63">
            <w:pPr>
              <w:jc w:val="center"/>
              <w:rPr>
                <w:rFonts w:cs="Arial"/>
                <w:b/>
                <w:bCs/>
              </w:rPr>
            </w:pPr>
            <w:r w:rsidRPr="005F2C03">
              <w:rPr>
                <w:rFonts w:cs="Arial"/>
                <w:b/>
                <w:bCs/>
              </w:rPr>
              <w:t>NOMBRE ASEGURADORA</w:t>
            </w:r>
          </w:p>
        </w:tc>
        <w:tc>
          <w:tcPr>
            <w:tcW w:w="152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CEBC2F" w14:textId="77777777" w:rsidR="00A30C63" w:rsidRPr="005F2C03" w:rsidRDefault="00A30C63">
            <w:pPr>
              <w:jc w:val="center"/>
              <w:rPr>
                <w:rFonts w:cs="Arial"/>
                <w:b/>
                <w:bCs/>
              </w:rPr>
            </w:pPr>
            <w:r w:rsidRPr="005F2C03">
              <w:rPr>
                <w:rFonts w:cs="Arial"/>
                <w:b/>
                <w:bCs/>
              </w:rPr>
              <w:t>RAMOS AUTORIZADOS GENERALES</w:t>
            </w:r>
          </w:p>
        </w:tc>
        <w:tc>
          <w:tcPr>
            <w:tcW w:w="10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163B66" w14:textId="77777777" w:rsidR="00A30C63" w:rsidRPr="005F2C03" w:rsidRDefault="00A30C63">
            <w:pPr>
              <w:jc w:val="center"/>
              <w:rPr>
                <w:rFonts w:cs="Arial"/>
                <w:b/>
                <w:bCs/>
              </w:rPr>
            </w:pPr>
            <w:r w:rsidRPr="005F2C03">
              <w:rPr>
                <w:rFonts w:cs="Arial"/>
                <w:b/>
                <w:bCs/>
              </w:rPr>
              <w:t>RAMOS AUTORIZADOS PERSONAS</w:t>
            </w:r>
          </w:p>
        </w:tc>
      </w:tr>
      <w:tr w:rsidR="00A30C63" w:rsidRPr="005F2C03" w14:paraId="330FAA7D"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29759F72" w14:textId="77777777" w:rsidR="00A30C63" w:rsidRPr="005F2C03" w:rsidRDefault="00A30C63">
            <w:pPr>
              <w:jc w:val="center"/>
              <w:rPr>
                <w:rFonts w:cs="Arial"/>
                <w:sz w:val="20"/>
                <w:szCs w:val="24"/>
              </w:rPr>
            </w:pPr>
            <w:r w:rsidRPr="005F2C03">
              <w:rPr>
                <w:rFonts w:cs="Arial"/>
                <w:sz w:val="20"/>
              </w:rPr>
              <w:t>1</w:t>
            </w:r>
          </w:p>
        </w:tc>
        <w:tc>
          <w:tcPr>
            <w:tcW w:w="2173" w:type="pct"/>
            <w:tcBorders>
              <w:top w:val="single" w:sz="4" w:space="0" w:color="auto"/>
              <w:left w:val="single" w:sz="4" w:space="0" w:color="auto"/>
              <w:bottom w:val="single" w:sz="4" w:space="0" w:color="auto"/>
              <w:right w:val="single" w:sz="4" w:space="0" w:color="auto"/>
            </w:tcBorders>
            <w:vAlign w:val="center"/>
          </w:tcPr>
          <w:p w14:paraId="20729C4D" w14:textId="36E6BE2A" w:rsidR="00A30C63" w:rsidRPr="005F2C03" w:rsidRDefault="00A30C63">
            <w:pPr>
              <w:jc w:val="center"/>
              <w:rPr>
                <w:rFonts w:cs="Arial"/>
                <w:sz w:val="20"/>
              </w:rPr>
            </w:pPr>
            <w:r w:rsidRPr="005F2C03">
              <w:rPr>
                <w:rFonts w:cs="Arial"/>
                <w:noProof/>
                <w:sz w:val="20"/>
              </w:rPr>
              <w:drawing>
                <wp:inline distT="0" distB="0" distL="0" distR="0" wp14:anchorId="5C2436D1" wp14:editId="35DE9429">
                  <wp:extent cx="1466850" cy="354965"/>
                  <wp:effectExtent l="0" t="0" r="0" b="6985"/>
                  <wp:docPr id="170251115" name="Imagen 4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que contiene Text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t="28680" b="25179"/>
                          <a:stretch>
                            <a:fillRect/>
                          </a:stretch>
                        </pic:blipFill>
                        <pic:spPr bwMode="auto">
                          <a:xfrm>
                            <a:off x="0" y="0"/>
                            <a:ext cx="1466850" cy="354965"/>
                          </a:xfrm>
                          <a:prstGeom prst="rect">
                            <a:avLst/>
                          </a:prstGeom>
                          <a:noFill/>
                          <a:ln>
                            <a:noFill/>
                          </a:ln>
                        </pic:spPr>
                      </pic:pic>
                    </a:graphicData>
                  </a:graphic>
                </wp:inline>
              </w:drawing>
            </w:r>
          </w:p>
          <w:p w14:paraId="67E2FF2D" w14:textId="77777777" w:rsidR="00A30C63" w:rsidRPr="005F2C03" w:rsidRDefault="00A30C63">
            <w:pPr>
              <w:jc w:val="center"/>
              <w:rPr>
                <w:rFonts w:cs="Arial"/>
                <w:sz w:val="20"/>
              </w:rPr>
            </w:pPr>
            <w:r w:rsidRPr="005F2C03">
              <w:rPr>
                <w:rFonts w:cs="Arial"/>
                <w:sz w:val="20"/>
              </w:rPr>
              <w:t>ALLIANZ SEGUROS S.A.</w:t>
            </w:r>
          </w:p>
          <w:p w14:paraId="0A644CF3" w14:textId="77777777" w:rsidR="00A30C63" w:rsidRPr="005F2C03" w:rsidRDefault="00A30C63">
            <w:pPr>
              <w:jc w:val="center"/>
              <w:rPr>
                <w:rFonts w:cs="Arial"/>
                <w:sz w:val="20"/>
              </w:rPr>
            </w:pPr>
            <w:proofErr w:type="spellStart"/>
            <w:r w:rsidRPr="005F2C03">
              <w:rPr>
                <w:rFonts w:cs="Arial"/>
                <w:sz w:val="20"/>
              </w:rPr>
              <w:t>Nit</w:t>
            </w:r>
            <w:proofErr w:type="spellEnd"/>
            <w:r w:rsidRPr="005F2C03">
              <w:rPr>
                <w:rFonts w:cs="Arial"/>
                <w:sz w:val="20"/>
              </w:rPr>
              <w:t>. 860.026.182-5</w:t>
            </w:r>
          </w:p>
          <w:p w14:paraId="44E8B376" w14:textId="77777777" w:rsidR="00A30C63" w:rsidRPr="005F2C03" w:rsidRDefault="00A30C63">
            <w:pPr>
              <w:jc w:val="center"/>
              <w:rPr>
                <w:rFonts w:cs="Arial"/>
                <w:sz w:val="20"/>
              </w:rPr>
            </w:pPr>
          </w:p>
          <w:p w14:paraId="2E397DA6" w14:textId="77777777" w:rsidR="00A30C63" w:rsidRPr="005F2C03" w:rsidRDefault="00A30C63">
            <w:pPr>
              <w:jc w:val="center"/>
              <w:rPr>
                <w:rFonts w:cs="Arial"/>
                <w:sz w:val="20"/>
              </w:rPr>
            </w:pPr>
            <w:r w:rsidRPr="005F2C03">
              <w:rPr>
                <w:rFonts w:cs="Arial"/>
                <w:sz w:val="20"/>
              </w:rPr>
              <w:t>ALLIANZ SEGUROS DE VIDA S.A</w:t>
            </w:r>
          </w:p>
          <w:p w14:paraId="6E962397" w14:textId="77777777" w:rsidR="00A30C63" w:rsidRPr="005F2C03" w:rsidRDefault="00A30C63">
            <w:pPr>
              <w:jc w:val="center"/>
              <w:rPr>
                <w:rFonts w:cs="Arial"/>
                <w:sz w:val="20"/>
              </w:rPr>
            </w:pPr>
            <w:proofErr w:type="spellStart"/>
            <w:r w:rsidRPr="005F2C03">
              <w:rPr>
                <w:rFonts w:cs="Arial"/>
                <w:sz w:val="20"/>
              </w:rPr>
              <w:t>Nit</w:t>
            </w:r>
            <w:proofErr w:type="spellEnd"/>
            <w:r w:rsidRPr="005F2C03">
              <w:rPr>
                <w:rFonts w:cs="Arial"/>
                <w:sz w:val="20"/>
              </w:rPr>
              <w:t>. 860.027.404-1</w:t>
            </w:r>
          </w:p>
          <w:p w14:paraId="10E05357" w14:textId="77777777" w:rsidR="00A30C63" w:rsidRPr="005F2C03" w:rsidRDefault="00A30C63">
            <w:pPr>
              <w:jc w:val="center"/>
              <w:rPr>
                <w:rFonts w:cs="Arial"/>
                <w:sz w:val="20"/>
              </w:rPr>
            </w:pPr>
          </w:p>
          <w:p w14:paraId="08E9F146" w14:textId="77777777" w:rsidR="00A30C63" w:rsidRPr="005F2C03" w:rsidRDefault="00A30C63">
            <w:pPr>
              <w:jc w:val="center"/>
              <w:rPr>
                <w:rFonts w:cs="Arial"/>
                <w:sz w:val="20"/>
              </w:rPr>
            </w:pPr>
            <w:r w:rsidRPr="005F2C03">
              <w:rPr>
                <w:rFonts w:cs="Arial"/>
                <w:sz w:val="20"/>
              </w:rPr>
              <w:t>Carrera 13A No. 29-24 Torre Empresarial Allianz</w:t>
            </w:r>
          </w:p>
          <w:p w14:paraId="11D9B48B" w14:textId="77777777" w:rsidR="00A30C63" w:rsidRPr="005F2C03" w:rsidRDefault="00A30C63">
            <w:pPr>
              <w:jc w:val="center"/>
              <w:rPr>
                <w:rFonts w:cs="Arial"/>
                <w:sz w:val="20"/>
              </w:rPr>
            </w:pPr>
            <w:r w:rsidRPr="005F2C03">
              <w:rPr>
                <w:rFonts w:cs="Arial"/>
                <w:sz w:val="20"/>
              </w:rPr>
              <w:t>Correspondencia: Local 102</w:t>
            </w:r>
          </w:p>
          <w:p w14:paraId="67EFEF1E" w14:textId="77777777" w:rsidR="00A30C63" w:rsidRPr="005F2C03" w:rsidRDefault="00A30C63">
            <w:pPr>
              <w:jc w:val="center"/>
              <w:rPr>
                <w:rFonts w:cs="Arial"/>
                <w:sz w:val="20"/>
              </w:rPr>
            </w:pPr>
            <w:r w:rsidRPr="005F2C03">
              <w:rPr>
                <w:rFonts w:cs="Arial"/>
                <w:sz w:val="20"/>
              </w:rPr>
              <w:lastRenderedPageBreak/>
              <w:t>Bogotá, D.C., Colombia</w:t>
            </w:r>
          </w:p>
          <w:p w14:paraId="7AB53BB2" w14:textId="77777777" w:rsidR="00A30C63" w:rsidRPr="005F2C03" w:rsidRDefault="00A30C63">
            <w:pPr>
              <w:jc w:val="center"/>
              <w:rPr>
                <w:rFonts w:cs="Arial"/>
                <w:sz w:val="20"/>
              </w:rPr>
            </w:pPr>
            <w:r w:rsidRPr="005F2C03">
              <w:rPr>
                <w:rFonts w:cs="Arial"/>
                <w:sz w:val="20"/>
              </w:rPr>
              <w:t>Fax Presidencia: 346 72 65</w:t>
            </w:r>
          </w:p>
          <w:p w14:paraId="15C007CA" w14:textId="77777777" w:rsidR="00A30C63" w:rsidRPr="005F2C03" w:rsidRDefault="00A30C63">
            <w:pPr>
              <w:jc w:val="center"/>
              <w:rPr>
                <w:rFonts w:cs="Arial"/>
                <w:sz w:val="20"/>
              </w:rPr>
            </w:pPr>
            <w:r w:rsidRPr="005F2C03">
              <w:rPr>
                <w:rFonts w:cs="Arial"/>
                <w:sz w:val="20"/>
              </w:rPr>
              <w:t>Conmutador: 51888787 - 5188444</w:t>
            </w:r>
          </w:p>
        </w:tc>
        <w:tc>
          <w:tcPr>
            <w:tcW w:w="1524" w:type="pct"/>
            <w:tcBorders>
              <w:top w:val="single" w:sz="4" w:space="0" w:color="auto"/>
              <w:left w:val="single" w:sz="4" w:space="0" w:color="auto"/>
              <w:bottom w:val="single" w:sz="4" w:space="0" w:color="auto"/>
              <w:right w:val="single" w:sz="4" w:space="0" w:color="auto"/>
            </w:tcBorders>
            <w:vAlign w:val="center"/>
            <w:hideMark/>
          </w:tcPr>
          <w:p w14:paraId="02F7880F" w14:textId="77777777" w:rsidR="00A30C63" w:rsidRPr="005F2C03" w:rsidRDefault="00A30C63">
            <w:pPr>
              <w:jc w:val="center"/>
              <w:rPr>
                <w:rFonts w:cs="Arial"/>
                <w:sz w:val="20"/>
              </w:rPr>
            </w:pPr>
            <w:r w:rsidRPr="005F2C03">
              <w:rPr>
                <w:rFonts w:cs="Arial"/>
                <w:sz w:val="20"/>
              </w:rPr>
              <w:lastRenderedPageBreak/>
              <w:t>Agropecuario, Corriente Débil, Incendio, Lucro Cesante, Manejo, Montaje y Rotura de Maquinaria, Navegación y Casco, Responsabilidad Civil, Sustracción, Terremoto, Transporte, Hogar, Todo Riesgo Contratista</w:t>
            </w:r>
          </w:p>
        </w:tc>
        <w:tc>
          <w:tcPr>
            <w:tcW w:w="1036" w:type="pct"/>
            <w:tcBorders>
              <w:top w:val="single" w:sz="4" w:space="0" w:color="auto"/>
              <w:left w:val="single" w:sz="4" w:space="0" w:color="auto"/>
              <w:bottom w:val="single" w:sz="4" w:space="0" w:color="auto"/>
              <w:right w:val="single" w:sz="4" w:space="0" w:color="auto"/>
            </w:tcBorders>
            <w:vAlign w:val="center"/>
          </w:tcPr>
          <w:p w14:paraId="6D2B5959" w14:textId="77777777" w:rsidR="00A30C63" w:rsidRPr="005F2C03" w:rsidRDefault="00A30C63">
            <w:pPr>
              <w:jc w:val="center"/>
              <w:rPr>
                <w:rFonts w:cs="Arial"/>
                <w:sz w:val="20"/>
              </w:rPr>
            </w:pPr>
          </w:p>
        </w:tc>
      </w:tr>
      <w:tr w:rsidR="00A30C63" w:rsidRPr="005F2C03" w14:paraId="16638E29"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7B0C5140" w14:textId="77777777" w:rsidR="00A30C63" w:rsidRPr="005F2C03" w:rsidRDefault="00A30C63">
            <w:pPr>
              <w:jc w:val="center"/>
              <w:rPr>
                <w:rFonts w:cs="Arial"/>
                <w:sz w:val="20"/>
              </w:rPr>
            </w:pPr>
            <w:r w:rsidRPr="005F2C03">
              <w:rPr>
                <w:rFonts w:cs="Arial"/>
                <w:sz w:val="20"/>
              </w:rPr>
              <w:t>2</w:t>
            </w:r>
          </w:p>
        </w:tc>
        <w:tc>
          <w:tcPr>
            <w:tcW w:w="2173" w:type="pct"/>
            <w:tcBorders>
              <w:top w:val="single" w:sz="4" w:space="0" w:color="auto"/>
              <w:left w:val="single" w:sz="4" w:space="0" w:color="auto"/>
              <w:bottom w:val="single" w:sz="4" w:space="0" w:color="auto"/>
              <w:right w:val="single" w:sz="4" w:space="0" w:color="auto"/>
            </w:tcBorders>
            <w:vAlign w:val="center"/>
          </w:tcPr>
          <w:p w14:paraId="22960E45" w14:textId="34126F40" w:rsidR="00A30C63" w:rsidRPr="005F2C03" w:rsidRDefault="00A30C63">
            <w:pPr>
              <w:jc w:val="center"/>
              <w:rPr>
                <w:rFonts w:cs="Arial"/>
                <w:sz w:val="20"/>
              </w:rPr>
            </w:pPr>
            <w:r w:rsidRPr="005F2C03">
              <w:rPr>
                <w:rFonts w:cs="Arial"/>
                <w:noProof/>
                <w:sz w:val="20"/>
              </w:rPr>
              <w:drawing>
                <wp:inline distT="0" distB="0" distL="0" distR="0" wp14:anchorId="7457C903" wp14:editId="4978A302">
                  <wp:extent cx="1316990" cy="688975"/>
                  <wp:effectExtent l="0" t="0" r="0" b="0"/>
                  <wp:docPr id="198199971" name="Imagen 4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Logotipo, nombre de la empres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990" cy="688975"/>
                          </a:xfrm>
                          <a:prstGeom prst="rect">
                            <a:avLst/>
                          </a:prstGeom>
                          <a:noFill/>
                          <a:ln>
                            <a:noFill/>
                          </a:ln>
                        </pic:spPr>
                      </pic:pic>
                    </a:graphicData>
                  </a:graphic>
                </wp:inline>
              </w:drawing>
            </w:r>
          </w:p>
          <w:p w14:paraId="71AE3705" w14:textId="77777777" w:rsidR="00A30C63" w:rsidRPr="005F2C03" w:rsidRDefault="00A30C63">
            <w:pPr>
              <w:jc w:val="center"/>
              <w:rPr>
                <w:rFonts w:cs="Arial"/>
                <w:sz w:val="20"/>
              </w:rPr>
            </w:pPr>
            <w:r w:rsidRPr="005F2C03">
              <w:rPr>
                <w:rFonts w:cs="Arial"/>
                <w:sz w:val="20"/>
              </w:rPr>
              <w:t>ASEGURADORA SOLIDARIA DE COLOMBIA ENTIDAD COOPERATIVA</w:t>
            </w:r>
          </w:p>
          <w:p w14:paraId="43819F5F" w14:textId="77777777" w:rsidR="00A30C63" w:rsidRPr="005F2C03" w:rsidRDefault="00A30C63">
            <w:pPr>
              <w:jc w:val="center"/>
              <w:rPr>
                <w:rFonts w:cs="Arial"/>
                <w:sz w:val="20"/>
              </w:rPr>
            </w:pPr>
          </w:p>
          <w:p w14:paraId="5ECBD05C" w14:textId="77777777" w:rsidR="00A30C63" w:rsidRPr="005F2C03" w:rsidRDefault="00A30C63">
            <w:pPr>
              <w:jc w:val="center"/>
              <w:rPr>
                <w:rFonts w:cs="Arial"/>
                <w:sz w:val="20"/>
              </w:rPr>
            </w:pPr>
            <w:r w:rsidRPr="005F2C03">
              <w:rPr>
                <w:rFonts w:cs="Arial"/>
                <w:sz w:val="20"/>
              </w:rPr>
              <w:t>Calle 100 No. 9A-45</w:t>
            </w:r>
          </w:p>
          <w:p w14:paraId="4C0532E3" w14:textId="77777777" w:rsidR="00A30C63" w:rsidRPr="005F2C03" w:rsidRDefault="00A30C63">
            <w:pPr>
              <w:jc w:val="center"/>
              <w:rPr>
                <w:rFonts w:cs="Arial"/>
                <w:sz w:val="20"/>
              </w:rPr>
            </w:pPr>
            <w:r w:rsidRPr="005F2C03">
              <w:rPr>
                <w:rFonts w:cs="Arial"/>
                <w:sz w:val="20"/>
              </w:rPr>
              <w:t>Bogotá, D.C., Colombia</w:t>
            </w:r>
          </w:p>
          <w:p w14:paraId="7E7E03A8" w14:textId="77777777" w:rsidR="00A30C63" w:rsidRPr="005F2C03" w:rsidRDefault="00A30C63">
            <w:pPr>
              <w:jc w:val="center"/>
              <w:rPr>
                <w:rFonts w:cs="Arial"/>
                <w:sz w:val="20"/>
              </w:rPr>
            </w:pPr>
            <w:r w:rsidRPr="005F2C03">
              <w:rPr>
                <w:rFonts w:cs="Arial"/>
                <w:sz w:val="20"/>
              </w:rPr>
              <w:t>Apartado Postal: 252030</w:t>
            </w:r>
          </w:p>
          <w:p w14:paraId="435F3207" w14:textId="77777777" w:rsidR="00A30C63" w:rsidRPr="005F2C03" w:rsidRDefault="00A30C63">
            <w:pPr>
              <w:jc w:val="center"/>
              <w:rPr>
                <w:rFonts w:cs="Arial"/>
                <w:sz w:val="20"/>
              </w:rPr>
            </w:pPr>
            <w:r w:rsidRPr="005F2C03">
              <w:rPr>
                <w:rFonts w:cs="Arial"/>
                <w:sz w:val="20"/>
              </w:rPr>
              <w:t>Facebook: https://www.facebook.com/SolidariaCo/</w:t>
            </w:r>
          </w:p>
          <w:p w14:paraId="360F02E5" w14:textId="77777777" w:rsidR="00A30C63" w:rsidRPr="005F2C03" w:rsidRDefault="00A30C63">
            <w:pPr>
              <w:jc w:val="center"/>
              <w:rPr>
                <w:rFonts w:cs="Arial"/>
                <w:sz w:val="20"/>
              </w:rPr>
            </w:pPr>
            <w:r w:rsidRPr="005F2C03">
              <w:rPr>
                <w:rFonts w:cs="Arial"/>
                <w:sz w:val="20"/>
              </w:rPr>
              <w:t>Conmutador: 646 43 30</w:t>
            </w:r>
          </w:p>
          <w:p w14:paraId="78EEE88D" w14:textId="77777777" w:rsidR="00A30C63" w:rsidRPr="005F2C03" w:rsidRDefault="00A30C63">
            <w:pPr>
              <w:jc w:val="center"/>
              <w:rPr>
                <w:rFonts w:cs="Arial"/>
                <w:sz w:val="20"/>
              </w:rPr>
            </w:pPr>
            <w:r w:rsidRPr="005F2C03">
              <w:rPr>
                <w:rFonts w:cs="Arial"/>
                <w:sz w:val="20"/>
              </w:rPr>
              <w:t>NIT: 860.524.654-6</w:t>
            </w:r>
          </w:p>
        </w:tc>
        <w:tc>
          <w:tcPr>
            <w:tcW w:w="1524" w:type="pct"/>
            <w:tcBorders>
              <w:top w:val="single" w:sz="4" w:space="0" w:color="auto"/>
              <w:left w:val="single" w:sz="4" w:space="0" w:color="auto"/>
              <w:bottom w:val="single" w:sz="4" w:space="0" w:color="auto"/>
              <w:right w:val="single" w:sz="4" w:space="0" w:color="auto"/>
            </w:tcBorders>
            <w:vAlign w:val="center"/>
            <w:hideMark/>
          </w:tcPr>
          <w:p w14:paraId="005C4F81" w14:textId="77777777" w:rsidR="00A30C63" w:rsidRPr="005F2C03" w:rsidRDefault="00A30C63">
            <w:pPr>
              <w:jc w:val="center"/>
              <w:rPr>
                <w:rFonts w:cs="Arial"/>
                <w:sz w:val="20"/>
              </w:rPr>
            </w:pPr>
            <w:r w:rsidRPr="005F2C03">
              <w:rPr>
                <w:rFonts w:cs="Arial"/>
                <w:sz w:val="20"/>
              </w:rPr>
              <w:t>Automóviles, Corriente Débil, Estabilidad y Calidad de la Vivienda Nueva, Incendio, Manejo, Vidrios, Terremoto, Sustracción, Responsabilidad Civil Cumplimiento, Transporte, Montaje y Rotura de Maquinaria, Todo Riesgo Contratista, Accidentes Personales, Salud, Exequias, Vida Grupo, Lucro Cesante, Desempleo, Navegación y Casco.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062B917" w14:textId="77777777" w:rsidR="00A30C63" w:rsidRPr="005F2C03" w:rsidRDefault="00A30C63">
            <w:pPr>
              <w:jc w:val="center"/>
              <w:rPr>
                <w:rFonts w:cs="Arial"/>
                <w:sz w:val="20"/>
              </w:rPr>
            </w:pPr>
            <w:proofErr w:type="spellStart"/>
            <w:r w:rsidRPr="005F2C03">
              <w:rPr>
                <w:rFonts w:cs="Arial"/>
                <w:sz w:val="20"/>
              </w:rPr>
              <w:t>Soat</w:t>
            </w:r>
            <w:proofErr w:type="spellEnd"/>
            <w:r w:rsidRPr="005F2C03">
              <w:rPr>
                <w:rFonts w:cs="Arial"/>
                <w:sz w:val="20"/>
              </w:rPr>
              <w:t>, Cooperativo de Vida, Responsabilidad Civil, Accidentes Personales, Salud, Exequias, Vida Grupo</w:t>
            </w:r>
          </w:p>
        </w:tc>
      </w:tr>
      <w:tr w:rsidR="00A30C63" w:rsidRPr="005F2C03" w14:paraId="495926BC"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045184DA" w14:textId="77777777" w:rsidR="00A30C63" w:rsidRPr="005F2C03" w:rsidRDefault="00A30C63">
            <w:pPr>
              <w:jc w:val="center"/>
              <w:rPr>
                <w:rFonts w:cs="Arial"/>
                <w:noProof/>
                <w:sz w:val="20"/>
              </w:rPr>
            </w:pPr>
            <w:r w:rsidRPr="005F2C03">
              <w:rPr>
                <w:rFonts w:cs="Arial"/>
                <w:noProof/>
                <w:sz w:val="20"/>
              </w:rPr>
              <w:t>3</w:t>
            </w:r>
          </w:p>
        </w:tc>
        <w:tc>
          <w:tcPr>
            <w:tcW w:w="2173" w:type="pct"/>
            <w:tcBorders>
              <w:top w:val="single" w:sz="4" w:space="0" w:color="auto"/>
              <w:left w:val="single" w:sz="4" w:space="0" w:color="auto"/>
              <w:bottom w:val="single" w:sz="4" w:space="0" w:color="auto"/>
              <w:right w:val="single" w:sz="4" w:space="0" w:color="auto"/>
            </w:tcBorders>
            <w:vAlign w:val="center"/>
          </w:tcPr>
          <w:p w14:paraId="46625D63" w14:textId="77777777" w:rsidR="00A30C63" w:rsidRPr="005F2C03" w:rsidRDefault="00A30C63">
            <w:pPr>
              <w:jc w:val="center"/>
              <w:rPr>
                <w:rFonts w:cs="Arial"/>
                <w:sz w:val="20"/>
              </w:rPr>
            </w:pPr>
          </w:p>
          <w:p w14:paraId="46A56FAA" w14:textId="19E35C62" w:rsidR="00A30C63" w:rsidRPr="005F2C03" w:rsidRDefault="00A30C63">
            <w:pPr>
              <w:jc w:val="center"/>
              <w:rPr>
                <w:rFonts w:cs="Arial"/>
                <w:sz w:val="20"/>
              </w:rPr>
            </w:pPr>
            <w:r w:rsidRPr="005F2C03">
              <w:rPr>
                <w:rFonts w:cs="Arial"/>
                <w:noProof/>
                <w:sz w:val="20"/>
              </w:rPr>
              <w:drawing>
                <wp:inline distT="0" distB="0" distL="0" distR="0" wp14:anchorId="66C7772B" wp14:editId="048DC68D">
                  <wp:extent cx="1378585" cy="873760"/>
                  <wp:effectExtent l="0" t="0" r="0" b="2540"/>
                  <wp:docPr id="1546419081" name="Imagen 4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Texto&#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H="1" flipV="1">
                            <a:off x="0" y="0"/>
                            <a:ext cx="1378585" cy="873760"/>
                          </a:xfrm>
                          <a:prstGeom prst="rect">
                            <a:avLst/>
                          </a:prstGeom>
                          <a:noFill/>
                          <a:ln>
                            <a:noFill/>
                          </a:ln>
                        </pic:spPr>
                      </pic:pic>
                    </a:graphicData>
                  </a:graphic>
                </wp:inline>
              </w:drawing>
            </w:r>
          </w:p>
          <w:p w14:paraId="53B99849" w14:textId="77777777" w:rsidR="00A30C63" w:rsidRPr="005F2C03" w:rsidRDefault="00A30C63">
            <w:pPr>
              <w:jc w:val="center"/>
              <w:rPr>
                <w:rFonts w:cs="Arial"/>
                <w:sz w:val="20"/>
              </w:rPr>
            </w:pPr>
            <w:r w:rsidRPr="005F2C03">
              <w:rPr>
                <w:rFonts w:cs="Arial"/>
                <w:sz w:val="20"/>
              </w:rPr>
              <w:t>AZULADO SEGUROS DE VIDA S.A.</w:t>
            </w:r>
          </w:p>
          <w:p w14:paraId="121405F5" w14:textId="77777777" w:rsidR="00A30C63" w:rsidRPr="005F2C03" w:rsidRDefault="00A30C63">
            <w:pPr>
              <w:jc w:val="center"/>
              <w:rPr>
                <w:rFonts w:cs="Arial"/>
                <w:sz w:val="20"/>
              </w:rPr>
            </w:pPr>
          </w:p>
          <w:p w14:paraId="25354EE3" w14:textId="77777777" w:rsidR="00A30C63" w:rsidRPr="005F2C03" w:rsidRDefault="00A30C63">
            <w:pPr>
              <w:jc w:val="center"/>
              <w:rPr>
                <w:rFonts w:cs="Arial"/>
                <w:sz w:val="20"/>
              </w:rPr>
            </w:pPr>
            <w:r w:rsidRPr="005F2C03">
              <w:rPr>
                <w:rFonts w:cs="Arial"/>
                <w:sz w:val="20"/>
              </w:rPr>
              <w:t>Calle 49 No. 63 100</w:t>
            </w:r>
          </w:p>
          <w:p w14:paraId="09202DDD" w14:textId="77777777" w:rsidR="00A30C63" w:rsidRPr="005F2C03" w:rsidRDefault="00A30C63">
            <w:pPr>
              <w:jc w:val="center"/>
              <w:rPr>
                <w:rFonts w:cs="Arial"/>
                <w:sz w:val="20"/>
              </w:rPr>
            </w:pPr>
            <w:r w:rsidRPr="005F2C03">
              <w:rPr>
                <w:rFonts w:cs="Arial"/>
                <w:sz w:val="20"/>
              </w:rPr>
              <w:t>4Bogotá, D.C., Colombia</w:t>
            </w:r>
          </w:p>
          <w:p w14:paraId="328C3122" w14:textId="77777777" w:rsidR="00A30C63" w:rsidRPr="005F2C03" w:rsidRDefault="00A30C63">
            <w:pPr>
              <w:jc w:val="center"/>
              <w:rPr>
                <w:rFonts w:cs="Arial"/>
                <w:sz w:val="20"/>
              </w:rPr>
            </w:pPr>
            <w:r w:rsidRPr="005F2C03">
              <w:rPr>
                <w:rFonts w:cs="Arial"/>
                <w:sz w:val="20"/>
              </w:rPr>
              <w:t>5</w:t>
            </w:r>
          </w:p>
          <w:p w14:paraId="4745A185" w14:textId="77777777" w:rsidR="00A30C63" w:rsidRPr="005F2C03" w:rsidRDefault="00A30C63">
            <w:pPr>
              <w:jc w:val="center"/>
              <w:rPr>
                <w:rFonts w:cs="Arial"/>
                <w:sz w:val="20"/>
              </w:rPr>
            </w:pPr>
            <w:r w:rsidRPr="005F2C03">
              <w:rPr>
                <w:rFonts w:cs="Arial"/>
                <w:sz w:val="20"/>
              </w:rPr>
              <w:t>Conmutador:</w:t>
            </w:r>
          </w:p>
          <w:p w14:paraId="55523FAF" w14:textId="77777777" w:rsidR="00A30C63" w:rsidRPr="005F2C03" w:rsidRDefault="00A30C63">
            <w:pPr>
              <w:jc w:val="center"/>
              <w:rPr>
                <w:rFonts w:cs="Arial"/>
                <w:sz w:val="20"/>
              </w:rPr>
            </w:pPr>
            <w:r w:rsidRPr="005F2C03">
              <w:rPr>
                <w:rFonts w:cs="Arial"/>
                <w:sz w:val="20"/>
              </w:rPr>
              <w:t>Línea de Atención al Cliente: Oficina 604-3220025</w:t>
            </w:r>
          </w:p>
          <w:p w14:paraId="4F620AA5" w14:textId="77777777" w:rsidR="00A30C63" w:rsidRPr="005F2C03" w:rsidRDefault="00A30C63">
            <w:pPr>
              <w:jc w:val="center"/>
              <w:rPr>
                <w:rFonts w:cs="Arial"/>
                <w:sz w:val="20"/>
              </w:rPr>
            </w:pPr>
            <w:r w:rsidRPr="005F2C03">
              <w:rPr>
                <w:rFonts w:cs="Arial"/>
                <w:sz w:val="20"/>
              </w:rPr>
              <w:t>8</w:t>
            </w:r>
          </w:p>
          <w:p w14:paraId="7F3F2F42" w14:textId="77777777" w:rsidR="00A30C63" w:rsidRPr="005F2C03" w:rsidRDefault="00A30C63">
            <w:pPr>
              <w:jc w:val="center"/>
              <w:rPr>
                <w:rFonts w:cs="Arial"/>
                <w:sz w:val="20"/>
              </w:rPr>
            </w:pPr>
            <w:r w:rsidRPr="005F2C03">
              <w:rPr>
                <w:rFonts w:cs="Arial"/>
                <w:sz w:val="20"/>
              </w:rPr>
              <w:t>N9it: 901660669-6</w:t>
            </w:r>
          </w:p>
        </w:tc>
        <w:tc>
          <w:tcPr>
            <w:tcW w:w="1524" w:type="pct"/>
            <w:tcBorders>
              <w:top w:val="single" w:sz="4" w:space="0" w:color="auto"/>
              <w:left w:val="single" w:sz="4" w:space="0" w:color="auto"/>
              <w:bottom w:val="single" w:sz="4" w:space="0" w:color="auto"/>
              <w:right w:val="single" w:sz="4" w:space="0" w:color="auto"/>
            </w:tcBorders>
            <w:vAlign w:val="center"/>
          </w:tcPr>
          <w:p w14:paraId="3604F695"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7774727D" w14:textId="77777777" w:rsidR="00A30C63" w:rsidRPr="005F2C03" w:rsidRDefault="00A30C63">
            <w:pPr>
              <w:jc w:val="center"/>
              <w:rPr>
                <w:rFonts w:cs="Arial"/>
                <w:sz w:val="20"/>
              </w:rPr>
            </w:pPr>
            <w:r w:rsidRPr="005F2C03">
              <w:rPr>
                <w:rFonts w:cs="Arial"/>
                <w:sz w:val="20"/>
              </w:rPr>
              <w:t>Vida: Pensiones ley 100 Seguro previsional invalidez y sobrevivencia</w:t>
            </w:r>
          </w:p>
        </w:tc>
      </w:tr>
      <w:tr w:rsidR="00A30C63" w:rsidRPr="005F2C03" w14:paraId="6EB5A3E1"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7C2FE7EA" w14:textId="77777777" w:rsidR="00A30C63" w:rsidRPr="005F2C03" w:rsidRDefault="00A30C63">
            <w:pPr>
              <w:jc w:val="center"/>
              <w:rPr>
                <w:rFonts w:cs="Arial"/>
                <w:noProof/>
                <w:sz w:val="20"/>
              </w:rPr>
            </w:pPr>
            <w:r w:rsidRPr="005F2C03">
              <w:rPr>
                <w:rFonts w:cs="Arial"/>
                <w:noProof/>
                <w:sz w:val="20"/>
              </w:rPr>
              <w:t>4</w:t>
            </w:r>
          </w:p>
        </w:tc>
        <w:tc>
          <w:tcPr>
            <w:tcW w:w="2173" w:type="pct"/>
            <w:tcBorders>
              <w:top w:val="single" w:sz="4" w:space="0" w:color="auto"/>
              <w:left w:val="single" w:sz="4" w:space="0" w:color="auto"/>
              <w:bottom w:val="single" w:sz="4" w:space="0" w:color="auto"/>
              <w:right w:val="single" w:sz="4" w:space="0" w:color="auto"/>
            </w:tcBorders>
            <w:vAlign w:val="center"/>
          </w:tcPr>
          <w:p w14:paraId="54E0F23E" w14:textId="77777777" w:rsidR="00A30C63" w:rsidRPr="005F2C03" w:rsidRDefault="00A30C63">
            <w:pPr>
              <w:jc w:val="center"/>
              <w:rPr>
                <w:rFonts w:cs="Arial"/>
                <w:noProof/>
                <w:sz w:val="20"/>
              </w:rPr>
            </w:pPr>
          </w:p>
          <w:p w14:paraId="54BA26A3" w14:textId="5716E157" w:rsidR="00A30C63" w:rsidRPr="005F2C03" w:rsidRDefault="00A30C63">
            <w:pPr>
              <w:jc w:val="center"/>
              <w:rPr>
                <w:rFonts w:cs="Arial"/>
                <w:noProof/>
                <w:sz w:val="20"/>
              </w:rPr>
            </w:pPr>
            <w:r w:rsidRPr="005F2C03">
              <w:rPr>
                <w:rFonts w:cs="Arial"/>
                <w:noProof/>
                <w:sz w:val="20"/>
              </w:rPr>
              <w:drawing>
                <wp:inline distT="0" distB="0" distL="0" distR="0" wp14:anchorId="0D3388DC" wp14:editId="54082240">
                  <wp:extent cx="1153160" cy="641350"/>
                  <wp:effectExtent l="0" t="0" r="8890" b="6350"/>
                  <wp:docPr id="1931015503" name="Imagen 4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tipo&#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3160" cy="641350"/>
                          </a:xfrm>
                          <a:prstGeom prst="rect">
                            <a:avLst/>
                          </a:prstGeom>
                          <a:noFill/>
                          <a:ln>
                            <a:noFill/>
                          </a:ln>
                        </pic:spPr>
                      </pic:pic>
                    </a:graphicData>
                  </a:graphic>
                </wp:inline>
              </w:drawing>
            </w:r>
          </w:p>
          <w:p w14:paraId="04692D8F" w14:textId="77777777" w:rsidR="00A30C63" w:rsidRPr="005F2C03" w:rsidRDefault="00A30C63">
            <w:pPr>
              <w:jc w:val="center"/>
              <w:rPr>
                <w:rFonts w:cs="Arial"/>
                <w:noProof/>
                <w:sz w:val="20"/>
              </w:rPr>
            </w:pPr>
          </w:p>
          <w:p w14:paraId="52058178" w14:textId="77777777" w:rsidR="00A30C63" w:rsidRPr="005F2C03" w:rsidRDefault="00A30C63">
            <w:pPr>
              <w:jc w:val="center"/>
              <w:rPr>
                <w:rFonts w:cs="Arial"/>
                <w:noProof/>
                <w:sz w:val="20"/>
              </w:rPr>
            </w:pPr>
            <w:r w:rsidRPr="005F2C03">
              <w:rPr>
                <w:rFonts w:cs="Arial"/>
                <w:noProof/>
                <w:sz w:val="20"/>
              </w:rPr>
              <w:t>COMPAÑÍA DE SEGUROS DE VIDA AURORA S.A.</w:t>
            </w:r>
          </w:p>
          <w:p w14:paraId="3844AD1D" w14:textId="77777777" w:rsidR="00A30C63" w:rsidRPr="005F2C03" w:rsidRDefault="00A30C63">
            <w:pPr>
              <w:jc w:val="center"/>
              <w:rPr>
                <w:rFonts w:cs="Arial"/>
                <w:noProof/>
                <w:sz w:val="20"/>
              </w:rPr>
            </w:pPr>
          </w:p>
          <w:p w14:paraId="3DB2072E" w14:textId="77777777" w:rsidR="00A30C63" w:rsidRPr="005F2C03" w:rsidRDefault="00A30C63">
            <w:pPr>
              <w:jc w:val="center"/>
              <w:rPr>
                <w:rFonts w:cs="Arial"/>
                <w:noProof/>
                <w:sz w:val="20"/>
              </w:rPr>
            </w:pPr>
            <w:r w:rsidRPr="005F2C03">
              <w:rPr>
                <w:rFonts w:cs="Arial"/>
                <w:noProof/>
                <w:sz w:val="20"/>
              </w:rPr>
              <w:t>Carrera 7 No. 74-21 Piso 1y2</w:t>
            </w:r>
          </w:p>
          <w:p w14:paraId="71CA3AC9" w14:textId="77777777" w:rsidR="00A30C63" w:rsidRPr="005F2C03" w:rsidRDefault="00A30C63">
            <w:pPr>
              <w:jc w:val="center"/>
              <w:rPr>
                <w:rFonts w:cs="Arial"/>
                <w:noProof/>
                <w:sz w:val="20"/>
              </w:rPr>
            </w:pPr>
            <w:r w:rsidRPr="005F2C03">
              <w:rPr>
                <w:rFonts w:cs="Arial"/>
                <w:noProof/>
                <w:sz w:val="20"/>
              </w:rPr>
              <w:t>Bogotá, D.C., Colombia</w:t>
            </w:r>
          </w:p>
          <w:p w14:paraId="763E315E" w14:textId="77777777" w:rsidR="00A30C63" w:rsidRPr="005F2C03" w:rsidRDefault="00A30C63">
            <w:pPr>
              <w:jc w:val="center"/>
              <w:rPr>
                <w:rFonts w:cs="Arial"/>
                <w:noProof/>
                <w:sz w:val="20"/>
              </w:rPr>
            </w:pPr>
            <w:r w:rsidRPr="005F2C03">
              <w:rPr>
                <w:rFonts w:cs="Arial"/>
                <w:noProof/>
                <w:sz w:val="20"/>
              </w:rPr>
              <w:t>PBX: 552 45 10 - 742 51 19</w:t>
            </w:r>
          </w:p>
        </w:tc>
        <w:tc>
          <w:tcPr>
            <w:tcW w:w="1524" w:type="pct"/>
            <w:tcBorders>
              <w:top w:val="single" w:sz="4" w:space="0" w:color="auto"/>
              <w:left w:val="single" w:sz="4" w:space="0" w:color="auto"/>
              <w:bottom w:val="single" w:sz="4" w:space="0" w:color="auto"/>
              <w:right w:val="single" w:sz="4" w:space="0" w:color="auto"/>
            </w:tcBorders>
            <w:vAlign w:val="center"/>
          </w:tcPr>
          <w:p w14:paraId="4AF8E932"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4A16FB5B" w14:textId="77777777" w:rsidR="00A30C63" w:rsidRPr="005F2C03" w:rsidRDefault="00A30C63">
            <w:pPr>
              <w:jc w:val="center"/>
              <w:rPr>
                <w:rFonts w:cs="Arial"/>
                <w:sz w:val="20"/>
              </w:rPr>
            </w:pPr>
            <w:r w:rsidRPr="005F2C03">
              <w:rPr>
                <w:rFonts w:cs="Arial"/>
                <w:sz w:val="20"/>
              </w:rPr>
              <w:t>Accidentes Personales, Seguros de Vida Individual, Seguros de Vida Grupo, Enfermedades de Alto Costo, ARL.</w:t>
            </w:r>
          </w:p>
        </w:tc>
      </w:tr>
      <w:tr w:rsidR="00A30C63" w:rsidRPr="005F2C03" w14:paraId="54DDA20F"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495CD610" w14:textId="77777777" w:rsidR="00A30C63" w:rsidRPr="005F2C03" w:rsidRDefault="00A30C63">
            <w:pPr>
              <w:jc w:val="center"/>
              <w:rPr>
                <w:rFonts w:cs="Arial"/>
                <w:noProof/>
                <w:sz w:val="20"/>
              </w:rPr>
            </w:pPr>
            <w:r w:rsidRPr="005F2C03">
              <w:rPr>
                <w:rFonts w:cs="Arial"/>
                <w:noProof/>
                <w:sz w:val="20"/>
              </w:rPr>
              <w:lastRenderedPageBreak/>
              <w:t>5</w:t>
            </w:r>
          </w:p>
        </w:tc>
        <w:tc>
          <w:tcPr>
            <w:tcW w:w="2173" w:type="pct"/>
            <w:tcBorders>
              <w:top w:val="single" w:sz="4" w:space="0" w:color="auto"/>
              <w:left w:val="single" w:sz="4" w:space="0" w:color="auto"/>
              <w:bottom w:val="single" w:sz="4" w:space="0" w:color="auto"/>
              <w:right w:val="single" w:sz="4" w:space="0" w:color="auto"/>
            </w:tcBorders>
            <w:vAlign w:val="center"/>
          </w:tcPr>
          <w:p w14:paraId="098D103D" w14:textId="06A48C14" w:rsidR="00A30C63" w:rsidRPr="005F2C03" w:rsidRDefault="00A30C63">
            <w:pPr>
              <w:jc w:val="center"/>
              <w:rPr>
                <w:rFonts w:cs="Arial"/>
                <w:sz w:val="20"/>
              </w:rPr>
            </w:pPr>
            <w:r w:rsidRPr="005F2C03">
              <w:rPr>
                <w:rFonts w:cs="Arial"/>
                <w:noProof/>
                <w:sz w:val="20"/>
              </w:rPr>
              <w:drawing>
                <wp:inline distT="0" distB="0" distL="0" distR="0" wp14:anchorId="0D162A67" wp14:editId="25108AAB">
                  <wp:extent cx="1446530" cy="457200"/>
                  <wp:effectExtent l="0" t="0" r="1270" b="0"/>
                  <wp:docPr id="632210548" name="Imagen 4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tipo, nombre de la empres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t="18118" b="19759"/>
                          <a:stretch>
                            <a:fillRect/>
                          </a:stretch>
                        </pic:blipFill>
                        <pic:spPr bwMode="auto">
                          <a:xfrm>
                            <a:off x="0" y="0"/>
                            <a:ext cx="1446530" cy="457200"/>
                          </a:xfrm>
                          <a:prstGeom prst="rect">
                            <a:avLst/>
                          </a:prstGeom>
                          <a:noFill/>
                          <a:ln>
                            <a:noFill/>
                          </a:ln>
                        </pic:spPr>
                      </pic:pic>
                    </a:graphicData>
                  </a:graphic>
                </wp:inline>
              </w:drawing>
            </w:r>
          </w:p>
          <w:p w14:paraId="03B4A145" w14:textId="77777777" w:rsidR="00A30C63" w:rsidRPr="005F2C03" w:rsidRDefault="00A30C63">
            <w:pPr>
              <w:jc w:val="center"/>
              <w:rPr>
                <w:rFonts w:cs="Arial"/>
                <w:sz w:val="20"/>
              </w:rPr>
            </w:pPr>
            <w:r w:rsidRPr="005F2C03">
              <w:rPr>
                <w:rFonts w:cs="Arial"/>
                <w:sz w:val="20"/>
              </w:rPr>
              <w:t>AXA COLPATRIA SEGUROS S.A.</w:t>
            </w:r>
          </w:p>
          <w:p w14:paraId="439B94E1" w14:textId="77777777" w:rsidR="00A30C63" w:rsidRPr="005F2C03" w:rsidRDefault="00A30C63">
            <w:pPr>
              <w:jc w:val="center"/>
              <w:rPr>
                <w:rFonts w:cs="Arial"/>
                <w:sz w:val="20"/>
              </w:rPr>
            </w:pPr>
          </w:p>
          <w:p w14:paraId="42AB5A26" w14:textId="77777777" w:rsidR="00A30C63" w:rsidRPr="005F2C03" w:rsidRDefault="00A30C63">
            <w:pPr>
              <w:jc w:val="center"/>
              <w:rPr>
                <w:rFonts w:cs="Arial"/>
                <w:sz w:val="20"/>
              </w:rPr>
            </w:pPr>
            <w:r w:rsidRPr="005F2C03">
              <w:rPr>
                <w:rFonts w:cs="Arial"/>
                <w:sz w:val="20"/>
              </w:rPr>
              <w:t>Carrera 7a No. 24-89</w:t>
            </w:r>
          </w:p>
          <w:p w14:paraId="42AE388C" w14:textId="77777777" w:rsidR="00A30C63" w:rsidRPr="005F2C03" w:rsidRDefault="00A30C63">
            <w:pPr>
              <w:jc w:val="center"/>
              <w:rPr>
                <w:rFonts w:cs="Arial"/>
                <w:sz w:val="20"/>
              </w:rPr>
            </w:pPr>
            <w:r w:rsidRPr="005F2C03">
              <w:rPr>
                <w:rFonts w:cs="Arial"/>
                <w:sz w:val="20"/>
              </w:rPr>
              <w:t>Bogotá, D.C., Colombia</w:t>
            </w:r>
          </w:p>
          <w:p w14:paraId="30BC3D69" w14:textId="77777777" w:rsidR="00A30C63" w:rsidRPr="005F2C03" w:rsidRDefault="00A30C63">
            <w:pPr>
              <w:jc w:val="center"/>
              <w:rPr>
                <w:rFonts w:cs="Arial"/>
                <w:sz w:val="20"/>
              </w:rPr>
            </w:pPr>
            <w:r w:rsidRPr="005F2C03">
              <w:rPr>
                <w:rFonts w:cs="Arial"/>
                <w:sz w:val="20"/>
              </w:rPr>
              <w:t>Fax:</w:t>
            </w:r>
          </w:p>
          <w:p w14:paraId="408CA3DC" w14:textId="77777777" w:rsidR="00A30C63" w:rsidRPr="005F2C03" w:rsidRDefault="00A30C63">
            <w:pPr>
              <w:jc w:val="center"/>
              <w:rPr>
                <w:rFonts w:cs="Arial"/>
                <w:sz w:val="20"/>
              </w:rPr>
            </w:pPr>
            <w:r w:rsidRPr="005F2C03">
              <w:rPr>
                <w:rFonts w:cs="Arial"/>
                <w:sz w:val="20"/>
              </w:rPr>
              <w:t>Conmutador: 337 46 77</w:t>
            </w:r>
          </w:p>
          <w:p w14:paraId="6E770A08" w14:textId="77777777" w:rsidR="00A30C63" w:rsidRPr="005F2C03" w:rsidRDefault="00A30C63">
            <w:pPr>
              <w:jc w:val="center"/>
              <w:rPr>
                <w:rFonts w:cs="Arial"/>
                <w:sz w:val="20"/>
              </w:rPr>
            </w:pPr>
            <w:r w:rsidRPr="005F2C03">
              <w:rPr>
                <w:rFonts w:cs="Arial"/>
                <w:sz w:val="20"/>
              </w:rPr>
              <w:t>Línea de Atención al Cliente: 423 57 57</w:t>
            </w:r>
          </w:p>
          <w:p w14:paraId="67C8D050" w14:textId="77777777" w:rsidR="00A30C63" w:rsidRPr="005F2C03" w:rsidRDefault="00A30C63">
            <w:pPr>
              <w:jc w:val="center"/>
              <w:rPr>
                <w:rFonts w:cs="Arial"/>
                <w:sz w:val="20"/>
              </w:rPr>
            </w:pPr>
          </w:p>
        </w:tc>
        <w:tc>
          <w:tcPr>
            <w:tcW w:w="1524" w:type="pct"/>
            <w:tcBorders>
              <w:top w:val="single" w:sz="4" w:space="0" w:color="auto"/>
              <w:left w:val="single" w:sz="4" w:space="0" w:color="auto"/>
              <w:bottom w:val="single" w:sz="4" w:space="0" w:color="auto"/>
              <w:right w:val="single" w:sz="4" w:space="0" w:color="auto"/>
            </w:tcBorders>
            <w:vAlign w:val="center"/>
            <w:hideMark/>
          </w:tcPr>
          <w:p w14:paraId="1DEC6D33" w14:textId="77777777" w:rsidR="00A30C63" w:rsidRPr="005F2C03" w:rsidRDefault="00A30C63">
            <w:pPr>
              <w:jc w:val="center"/>
              <w:rPr>
                <w:rFonts w:cs="Arial"/>
                <w:sz w:val="20"/>
              </w:rPr>
            </w:pPr>
            <w:r w:rsidRPr="005F2C03">
              <w:rPr>
                <w:rFonts w:cs="Arial"/>
                <w:sz w:val="20"/>
              </w:rPr>
              <w:t>Automóviles, Aviación, Corriente Débil, Cumplimiento, Incendio, Lucro Cesante, Manejo, Montaje y Rotura de Maquinaria, Responsabilidad Civil, Minas y Petróleo, Sustracción, Terremoto, Todo Riesgo para Contratistas, Transporte, Vidrios, Casco Navegación, Desempleo.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225F2BB" w14:textId="77777777" w:rsidR="00A30C63" w:rsidRPr="005F2C03" w:rsidRDefault="00A30C63">
            <w:pPr>
              <w:jc w:val="center"/>
              <w:rPr>
                <w:rFonts w:cs="Arial"/>
                <w:sz w:val="20"/>
              </w:rPr>
            </w:pPr>
            <w:r w:rsidRPr="005F2C03">
              <w:rPr>
                <w:rFonts w:cs="Arial"/>
                <w:sz w:val="20"/>
              </w:rPr>
              <w:t>Accidentes Personales, Salud, Vida Grupo, Daños Corporales Causados a las Personas en Accidentes de Tránsito, Enfermedades de Alto Costo, Colectivo de Vida, Educativo Vida Individual, Previsionales de Invalidez y Sobrevivencia, Riesgos Laborales y Pensiones Voluntarias.</w:t>
            </w:r>
          </w:p>
        </w:tc>
      </w:tr>
      <w:tr w:rsidR="00A30C63" w:rsidRPr="005F2C03" w14:paraId="3EBA7F1D"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559F0725" w14:textId="77777777" w:rsidR="00A30C63" w:rsidRPr="005F2C03" w:rsidRDefault="00A30C63">
            <w:pPr>
              <w:jc w:val="center"/>
              <w:rPr>
                <w:rFonts w:cs="Arial"/>
                <w:noProof/>
                <w:sz w:val="20"/>
              </w:rPr>
            </w:pPr>
            <w:r w:rsidRPr="005F2C03">
              <w:rPr>
                <w:rFonts w:cs="Arial"/>
                <w:noProof/>
                <w:sz w:val="20"/>
              </w:rPr>
              <w:t>6</w:t>
            </w:r>
          </w:p>
        </w:tc>
        <w:tc>
          <w:tcPr>
            <w:tcW w:w="2173" w:type="pct"/>
            <w:tcBorders>
              <w:top w:val="single" w:sz="4" w:space="0" w:color="auto"/>
              <w:left w:val="single" w:sz="4" w:space="0" w:color="auto"/>
              <w:bottom w:val="single" w:sz="4" w:space="0" w:color="auto"/>
              <w:right w:val="single" w:sz="4" w:space="0" w:color="auto"/>
            </w:tcBorders>
            <w:vAlign w:val="center"/>
          </w:tcPr>
          <w:p w14:paraId="50E1ED48" w14:textId="79A2D30A" w:rsidR="00A30C63" w:rsidRPr="005F2C03" w:rsidRDefault="00A30C63">
            <w:pPr>
              <w:jc w:val="center"/>
              <w:rPr>
                <w:rFonts w:cs="Arial"/>
                <w:noProof/>
                <w:sz w:val="20"/>
              </w:rPr>
            </w:pPr>
            <w:r w:rsidRPr="005F2C03">
              <w:rPr>
                <w:rFonts w:cs="Arial"/>
                <w:noProof/>
                <w:sz w:val="20"/>
              </w:rPr>
              <w:drawing>
                <wp:inline distT="0" distB="0" distL="0" distR="0" wp14:anchorId="26657A06" wp14:editId="690B82B9">
                  <wp:extent cx="1371600" cy="621030"/>
                  <wp:effectExtent l="0" t="0" r="0" b="7620"/>
                  <wp:docPr id="1744816724" name="Imagen 4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Logotipo, nombre de la empres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t="12997" b="10236"/>
                          <a:stretch>
                            <a:fillRect/>
                          </a:stretch>
                        </pic:blipFill>
                        <pic:spPr bwMode="auto">
                          <a:xfrm>
                            <a:off x="0" y="0"/>
                            <a:ext cx="1371600" cy="621030"/>
                          </a:xfrm>
                          <a:prstGeom prst="rect">
                            <a:avLst/>
                          </a:prstGeom>
                          <a:noFill/>
                          <a:ln>
                            <a:noFill/>
                          </a:ln>
                        </pic:spPr>
                      </pic:pic>
                    </a:graphicData>
                  </a:graphic>
                </wp:inline>
              </w:drawing>
            </w:r>
          </w:p>
          <w:p w14:paraId="0658D101" w14:textId="77777777" w:rsidR="00A30C63" w:rsidRPr="005F2C03" w:rsidRDefault="00A30C63">
            <w:pPr>
              <w:jc w:val="center"/>
              <w:rPr>
                <w:rFonts w:cs="Arial"/>
                <w:noProof/>
                <w:sz w:val="20"/>
              </w:rPr>
            </w:pPr>
          </w:p>
          <w:p w14:paraId="1856D1C8" w14:textId="77777777" w:rsidR="00A30C63" w:rsidRPr="005F2C03" w:rsidRDefault="00A30C63">
            <w:pPr>
              <w:jc w:val="center"/>
              <w:rPr>
                <w:rFonts w:cs="Arial"/>
                <w:noProof/>
                <w:sz w:val="20"/>
              </w:rPr>
            </w:pPr>
            <w:r w:rsidRPr="005F2C03">
              <w:rPr>
                <w:rFonts w:cs="Arial"/>
                <w:noProof/>
                <w:sz w:val="20"/>
              </w:rPr>
              <w:t>BBVA SEGUROS COLOMBIA S.A.</w:t>
            </w:r>
          </w:p>
          <w:p w14:paraId="55BAA4E5" w14:textId="77777777" w:rsidR="00A30C63" w:rsidRPr="005F2C03" w:rsidRDefault="00A30C63">
            <w:pPr>
              <w:jc w:val="center"/>
              <w:rPr>
                <w:rFonts w:cs="Arial"/>
                <w:noProof/>
                <w:sz w:val="20"/>
              </w:rPr>
            </w:pPr>
          </w:p>
          <w:p w14:paraId="7454CAB7" w14:textId="77777777" w:rsidR="00A30C63" w:rsidRPr="005F2C03" w:rsidRDefault="00A30C63">
            <w:pPr>
              <w:jc w:val="center"/>
              <w:rPr>
                <w:rFonts w:cs="Arial"/>
                <w:noProof/>
                <w:sz w:val="20"/>
              </w:rPr>
            </w:pPr>
            <w:r w:rsidRPr="005F2C03">
              <w:rPr>
                <w:rFonts w:cs="Arial"/>
                <w:noProof/>
                <w:sz w:val="20"/>
              </w:rPr>
              <w:t>Carrera 9 No. 72-21 Piso 8 ala sur.</w:t>
            </w:r>
          </w:p>
          <w:p w14:paraId="73F1D367" w14:textId="77777777" w:rsidR="00A30C63" w:rsidRPr="005F2C03" w:rsidRDefault="00A30C63">
            <w:pPr>
              <w:jc w:val="center"/>
              <w:rPr>
                <w:rFonts w:cs="Arial"/>
                <w:noProof/>
                <w:sz w:val="20"/>
              </w:rPr>
            </w:pPr>
            <w:r w:rsidRPr="005F2C03">
              <w:rPr>
                <w:rFonts w:cs="Arial"/>
                <w:noProof/>
                <w:sz w:val="20"/>
              </w:rPr>
              <w:t>Bogotá, D.C., Colombia</w:t>
            </w:r>
          </w:p>
          <w:p w14:paraId="1F47F940" w14:textId="77777777" w:rsidR="00A30C63" w:rsidRPr="005F2C03" w:rsidRDefault="00A30C63">
            <w:pPr>
              <w:jc w:val="center"/>
              <w:rPr>
                <w:rFonts w:cs="Arial"/>
                <w:noProof/>
                <w:sz w:val="20"/>
              </w:rPr>
            </w:pPr>
            <w:r w:rsidRPr="005F2C03">
              <w:rPr>
                <w:rFonts w:cs="Arial"/>
                <w:noProof/>
                <w:sz w:val="20"/>
              </w:rPr>
              <w:t>Conmutador: 601 219 11 00</w:t>
            </w:r>
          </w:p>
        </w:tc>
        <w:tc>
          <w:tcPr>
            <w:tcW w:w="1524" w:type="pct"/>
            <w:tcBorders>
              <w:top w:val="single" w:sz="4" w:space="0" w:color="auto"/>
              <w:left w:val="single" w:sz="4" w:space="0" w:color="auto"/>
              <w:bottom w:val="single" w:sz="4" w:space="0" w:color="auto"/>
              <w:right w:val="single" w:sz="4" w:space="0" w:color="auto"/>
            </w:tcBorders>
            <w:vAlign w:val="center"/>
            <w:hideMark/>
          </w:tcPr>
          <w:p w14:paraId="2731D635" w14:textId="77777777" w:rsidR="00A30C63" w:rsidRPr="005F2C03" w:rsidRDefault="00A30C63">
            <w:pPr>
              <w:jc w:val="center"/>
              <w:rPr>
                <w:rFonts w:cs="Arial"/>
                <w:sz w:val="20"/>
              </w:rPr>
            </w:pPr>
            <w:r w:rsidRPr="005F2C03">
              <w:rPr>
                <w:rFonts w:cs="Arial"/>
                <w:sz w:val="20"/>
              </w:rPr>
              <w:t>Cumplimiento, Manejo, Incendio, Lucro Cesante, Terremoto, Automóviles, Corriente Débil, Montaje y Rotura de Maquinaria, Responsabilidad Civil, Sustracción, Todo Riesgo para Contratistas, Transporte, Seguro Obligatorio de Accidentes de Tránsito (SOAT), Aviación, Navegación y Casco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DF36D72" w14:textId="77777777" w:rsidR="00A30C63" w:rsidRPr="005F2C03" w:rsidRDefault="00A30C63">
            <w:pPr>
              <w:jc w:val="center"/>
              <w:rPr>
                <w:rFonts w:cs="Arial"/>
                <w:sz w:val="20"/>
              </w:rPr>
            </w:pPr>
            <w:r w:rsidRPr="005F2C03">
              <w:rPr>
                <w:rFonts w:cs="Arial"/>
                <w:sz w:val="20"/>
              </w:rPr>
              <w:t>Accidentes Personales, Vida Grupo, Vida Individual, Seguros Previsionales de Invalidez y Sobrevivencia, Pensiones Ley 100, Riesgos Laborales, Pensiones de Jubilación Ramo de Pensiones Voluntarias, Exequias, Seguro de Salud.</w:t>
            </w:r>
          </w:p>
        </w:tc>
      </w:tr>
      <w:tr w:rsidR="00A30C63" w:rsidRPr="005F2C03" w14:paraId="559A75BF"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13AB4711" w14:textId="77777777" w:rsidR="00A30C63" w:rsidRPr="005F2C03" w:rsidRDefault="00A30C63">
            <w:pPr>
              <w:jc w:val="center"/>
              <w:rPr>
                <w:rFonts w:cs="Arial"/>
                <w:noProof/>
                <w:sz w:val="20"/>
              </w:rPr>
            </w:pPr>
            <w:r w:rsidRPr="005F2C03">
              <w:rPr>
                <w:rFonts w:cs="Arial"/>
                <w:noProof/>
                <w:sz w:val="20"/>
              </w:rPr>
              <w:t>7</w:t>
            </w:r>
          </w:p>
        </w:tc>
        <w:tc>
          <w:tcPr>
            <w:tcW w:w="2173" w:type="pct"/>
            <w:tcBorders>
              <w:top w:val="single" w:sz="4" w:space="0" w:color="auto"/>
              <w:left w:val="single" w:sz="4" w:space="0" w:color="auto"/>
              <w:bottom w:val="single" w:sz="4" w:space="0" w:color="auto"/>
              <w:right w:val="single" w:sz="4" w:space="0" w:color="auto"/>
            </w:tcBorders>
            <w:vAlign w:val="center"/>
          </w:tcPr>
          <w:p w14:paraId="2CD20E40" w14:textId="559F12AB" w:rsidR="00A30C63" w:rsidRPr="005F2C03" w:rsidRDefault="00A30C63">
            <w:pPr>
              <w:jc w:val="center"/>
              <w:rPr>
                <w:rFonts w:cs="Arial"/>
                <w:noProof/>
                <w:sz w:val="20"/>
              </w:rPr>
            </w:pPr>
            <w:r w:rsidRPr="005F2C03">
              <w:rPr>
                <w:rFonts w:cs="Arial"/>
                <w:noProof/>
                <w:sz w:val="20"/>
              </w:rPr>
              <w:drawing>
                <wp:inline distT="0" distB="0" distL="0" distR="0" wp14:anchorId="1E071265" wp14:editId="0A937292">
                  <wp:extent cx="1316990" cy="429895"/>
                  <wp:effectExtent l="0" t="0" r="0" b="8255"/>
                  <wp:docPr id="1128945478" name="Imagen 4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Logotipo, nombre de la empres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t="17046" b="23936"/>
                          <a:stretch>
                            <a:fillRect/>
                          </a:stretch>
                        </pic:blipFill>
                        <pic:spPr bwMode="auto">
                          <a:xfrm>
                            <a:off x="0" y="0"/>
                            <a:ext cx="1316990" cy="429895"/>
                          </a:xfrm>
                          <a:prstGeom prst="rect">
                            <a:avLst/>
                          </a:prstGeom>
                          <a:noFill/>
                          <a:ln>
                            <a:noFill/>
                          </a:ln>
                        </pic:spPr>
                      </pic:pic>
                    </a:graphicData>
                  </a:graphic>
                </wp:inline>
              </w:drawing>
            </w:r>
          </w:p>
          <w:p w14:paraId="11797423" w14:textId="77777777" w:rsidR="00A30C63" w:rsidRPr="005F2C03" w:rsidRDefault="00A30C63">
            <w:pPr>
              <w:jc w:val="center"/>
              <w:rPr>
                <w:rFonts w:cs="Arial"/>
                <w:noProof/>
                <w:sz w:val="20"/>
              </w:rPr>
            </w:pPr>
            <w:r w:rsidRPr="005F2C03">
              <w:rPr>
                <w:rFonts w:cs="Arial"/>
                <w:noProof/>
                <w:sz w:val="20"/>
              </w:rPr>
              <w:t>BERKLEY INTERNATIONAL SEGUROS COLOMBIA S.A.</w:t>
            </w:r>
          </w:p>
          <w:p w14:paraId="7B690FBE" w14:textId="77777777" w:rsidR="00A30C63" w:rsidRPr="005F2C03" w:rsidRDefault="00A30C63">
            <w:pPr>
              <w:jc w:val="center"/>
              <w:rPr>
                <w:rFonts w:cs="Arial"/>
                <w:noProof/>
                <w:sz w:val="20"/>
              </w:rPr>
            </w:pPr>
          </w:p>
          <w:p w14:paraId="088DF299" w14:textId="77777777" w:rsidR="00A30C63" w:rsidRPr="005F2C03" w:rsidRDefault="00A30C63">
            <w:pPr>
              <w:jc w:val="center"/>
              <w:rPr>
                <w:rFonts w:cs="Arial"/>
                <w:noProof/>
                <w:sz w:val="20"/>
              </w:rPr>
            </w:pPr>
            <w:r w:rsidRPr="005F2C03">
              <w:rPr>
                <w:rFonts w:cs="Arial"/>
                <w:noProof/>
                <w:sz w:val="20"/>
              </w:rPr>
              <w:t>Cra. 7 No. 71-21 Of. 1002 Torre B</w:t>
            </w:r>
          </w:p>
          <w:p w14:paraId="48A093C0" w14:textId="77777777" w:rsidR="00A30C63" w:rsidRPr="005F2C03" w:rsidRDefault="00A30C63">
            <w:pPr>
              <w:jc w:val="center"/>
              <w:rPr>
                <w:rFonts w:cs="Arial"/>
                <w:noProof/>
                <w:sz w:val="20"/>
              </w:rPr>
            </w:pPr>
            <w:r w:rsidRPr="005F2C03">
              <w:rPr>
                <w:rFonts w:cs="Arial"/>
                <w:noProof/>
                <w:sz w:val="20"/>
              </w:rPr>
              <w:t>Bogotá, D.C., Colombia</w:t>
            </w:r>
          </w:p>
          <w:p w14:paraId="5351011E" w14:textId="77777777" w:rsidR="00A30C63" w:rsidRPr="005F2C03" w:rsidRDefault="00A30C63">
            <w:pPr>
              <w:jc w:val="center"/>
              <w:rPr>
                <w:rFonts w:cs="Arial"/>
                <w:noProof/>
                <w:sz w:val="20"/>
              </w:rPr>
            </w:pPr>
            <w:r w:rsidRPr="005F2C03">
              <w:rPr>
                <w:rFonts w:cs="Arial"/>
                <w:noProof/>
                <w:sz w:val="20"/>
              </w:rPr>
              <w:lastRenderedPageBreak/>
              <w:t>PBX: (601) 357 2727</w:t>
            </w:r>
          </w:p>
        </w:tc>
        <w:tc>
          <w:tcPr>
            <w:tcW w:w="1524" w:type="pct"/>
            <w:tcBorders>
              <w:top w:val="single" w:sz="4" w:space="0" w:color="auto"/>
              <w:left w:val="single" w:sz="4" w:space="0" w:color="auto"/>
              <w:bottom w:val="single" w:sz="4" w:space="0" w:color="auto"/>
              <w:right w:val="single" w:sz="4" w:space="0" w:color="auto"/>
            </w:tcBorders>
            <w:vAlign w:val="center"/>
            <w:hideMark/>
          </w:tcPr>
          <w:p w14:paraId="65A4C9F7" w14:textId="77777777" w:rsidR="00A30C63" w:rsidRPr="005F2C03" w:rsidRDefault="00A30C63">
            <w:pPr>
              <w:jc w:val="center"/>
              <w:rPr>
                <w:rFonts w:cs="Arial"/>
                <w:sz w:val="20"/>
              </w:rPr>
            </w:pPr>
            <w:r w:rsidRPr="005F2C03">
              <w:rPr>
                <w:rFonts w:cs="Arial"/>
                <w:sz w:val="20"/>
              </w:rPr>
              <w:lastRenderedPageBreak/>
              <w:t>Seguros de Cumplimiento, Responsabilidad Civil, Manejo, Transporte, Todo Riesgo Construcción</w:t>
            </w:r>
          </w:p>
        </w:tc>
        <w:tc>
          <w:tcPr>
            <w:tcW w:w="1036" w:type="pct"/>
            <w:tcBorders>
              <w:top w:val="single" w:sz="4" w:space="0" w:color="auto"/>
              <w:left w:val="single" w:sz="4" w:space="0" w:color="auto"/>
              <w:bottom w:val="single" w:sz="4" w:space="0" w:color="auto"/>
              <w:right w:val="single" w:sz="4" w:space="0" w:color="auto"/>
            </w:tcBorders>
            <w:vAlign w:val="center"/>
          </w:tcPr>
          <w:p w14:paraId="7DE50269" w14:textId="77777777" w:rsidR="00A30C63" w:rsidRPr="005F2C03" w:rsidRDefault="00A30C63">
            <w:pPr>
              <w:jc w:val="center"/>
              <w:rPr>
                <w:rFonts w:cs="Arial"/>
                <w:sz w:val="20"/>
              </w:rPr>
            </w:pPr>
          </w:p>
        </w:tc>
      </w:tr>
      <w:tr w:rsidR="00A30C63" w:rsidRPr="005F2C03" w14:paraId="656D54C4"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21A4071E" w14:textId="77777777" w:rsidR="00A30C63" w:rsidRPr="005F2C03" w:rsidRDefault="00A30C63">
            <w:pPr>
              <w:jc w:val="center"/>
              <w:rPr>
                <w:rFonts w:cs="Arial"/>
                <w:noProof/>
                <w:sz w:val="20"/>
              </w:rPr>
            </w:pPr>
            <w:r w:rsidRPr="005F2C03">
              <w:rPr>
                <w:rFonts w:cs="Arial"/>
                <w:noProof/>
                <w:sz w:val="20"/>
              </w:rPr>
              <w:t>8</w:t>
            </w:r>
          </w:p>
        </w:tc>
        <w:tc>
          <w:tcPr>
            <w:tcW w:w="2173" w:type="pct"/>
            <w:tcBorders>
              <w:top w:val="single" w:sz="4" w:space="0" w:color="auto"/>
              <w:left w:val="single" w:sz="4" w:space="0" w:color="auto"/>
              <w:bottom w:val="single" w:sz="4" w:space="0" w:color="auto"/>
              <w:right w:val="single" w:sz="4" w:space="0" w:color="auto"/>
            </w:tcBorders>
            <w:vAlign w:val="center"/>
          </w:tcPr>
          <w:p w14:paraId="2CB1BE80" w14:textId="05EF0C7D" w:rsidR="00A30C63" w:rsidRPr="005F2C03" w:rsidRDefault="00A30C63">
            <w:pPr>
              <w:jc w:val="center"/>
              <w:rPr>
                <w:rFonts w:cs="Arial"/>
                <w:noProof/>
                <w:sz w:val="20"/>
              </w:rPr>
            </w:pPr>
            <w:r w:rsidRPr="005F2C03">
              <w:rPr>
                <w:rFonts w:cs="Arial"/>
                <w:noProof/>
                <w:sz w:val="20"/>
              </w:rPr>
              <w:drawing>
                <wp:inline distT="0" distB="0" distL="0" distR="0" wp14:anchorId="10597AD8" wp14:editId="29E65F9E">
                  <wp:extent cx="1378585" cy="457200"/>
                  <wp:effectExtent l="0" t="0" r="0" b="0"/>
                  <wp:docPr id="1130863457" name="Imagen 4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Logotipo, nombre de la empres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t="19466" b="18253"/>
                          <a:stretch>
                            <a:fillRect/>
                          </a:stretch>
                        </pic:blipFill>
                        <pic:spPr bwMode="auto">
                          <a:xfrm>
                            <a:off x="0" y="0"/>
                            <a:ext cx="1378585" cy="457200"/>
                          </a:xfrm>
                          <a:prstGeom prst="rect">
                            <a:avLst/>
                          </a:prstGeom>
                          <a:noFill/>
                          <a:ln>
                            <a:noFill/>
                          </a:ln>
                        </pic:spPr>
                      </pic:pic>
                    </a:graphicData>
                  </a:graphic>
                </wp:inline>
              </w:drawing>
            </w:r>
          </w:p>
          <w:p w14:paraId="39E5FB9C" w14:textId="77777777" w:rsidR="00A30C63" w:rsidRPr="005F2C03" w:rsidRDefault="00A30C63">
            <w:pPr>
              <w:jc w:val="center"/>
              <w:rPr>
                <w:rFonts w:cs="Arial"/>
                <w:noProof/>
                <w:sz w:val="20"/>
              </w:rPr>
            </w:pPr>
            <w:r w:rsidRPr="005F2C03">
              <w:rPr>
                <w:rFonts w:cs="Arial"/>
                <w:noProof/>
                <w:sz w:val="20"/>
              </w:rPr>
              <w:t>BMI COLOMBIA COMPAÑÍA DE SEGUROS DE VIDA S.A.</w:t>
            </w:r>
          </w:p>
          <w:p w14:paraId="46F2519C" w14:textId="77777777" w:rsidR="00A30C63" w:rsidRPr="005F2C03" w:rsidRDefault="00A30C63">
            <w:pPr>
              <w:jc w:val="center"/>
              <w:rPr>
                <w:rFonts w:cs="Arial"/>
                <w:noProof/>
                <w:sz w:val="20"/>
              </w:rPr>
            </w:pPr>
          </w:p>
          <w:p w14:paraId="5931A184" w14:textId="77777777" w:rsidR="00A30C63" w:rsidRPr="005F2C03" w:rsidRDefault="00A30C63">
            <w:pPr>
              <w:jc w:val="center"/>
              <w:rPr>
                <w:rFonts w:cs="Arial"/>
                <w:noProof/>
                <w:sz w:val="20"/>
              </w:rPr>
            </w:pPr>
            <w:r w:rsidRPr="005F2C03">
              <w:rPr>
                <w:rFonts w:cs="Arial"/>
                <w:noProof/>
                <w:sz w:val="20"/>
              </w:rPr>
              <w:t>Carrera 11 No 84 - 09 Costado Sur Piso 9</w:t>
            </w:r>
          </w:p>
          <w:p w14:paraId="600E289B" w14:textId="77777777" w:rsidR="00A30C63" w:rsidRPr="005F2C03" w:rsidRDefault="00A30C63">
            <w:pPr>
              <w:jc w:val="center"/>
              <w:rPr>
                <w:rFonts w:cs="Arial"/>
                <w:noProof/>
                <w:sz w:val="20"/>
              </w:rPr>
            </w:pPr>
            <w:r w:rsidRPr="005F2C03">
              <w:rPr>
                <w:rFonts w:cs="Arial"/>
                <w:noProof/>
                <w:sz w:val="20"/>
              </w:rPr>
              <w:t>Bogotá, D.C., Colombia</w:t>
            </w:r>
          </w:p>
          <w:p w14:paraId="1A38B27B" w14:textId="77777777" w:rsidR="00A30C63" w:rsidRPr="005F2C03" w:rsidRDefault="00A30C63">
            <w:pPr>
              <w:jc w:val="center"/>
              <w:rPr>
                <w:rFonts w:cs="Arial"/>
                <w:noProof/>
                <w:sz w:val="20"/>
              </w:rPr>
            </w:pPr>
            <w:r w:rsidRPr="005F2C03">
              <w:rPr>
                <w:rFonts w:cs="Arial"/>
                <w:noProof/>
                <w:sz w:val="20"/>
              </w:rPr>
              <w:t>Línea de Atención: 5187700</w:t>
            </w:r>
          </w:p>
        </w:tc>
        <w:tc>
          <w:tcPr>
            <w:tcW w:w="1524" w:type="pct"/>
            <w:tcBorders>
              <w:top w:val="single" w:sz="4" w:space="0" w:color="auto"/>
              <w:left w:val="single" w:sz="4" w:space="0" w:color="auto"/>
              <w:bottom w:val="single" w:sz="4" w:space="0" w:color="auto"/>
              <w:right w:val="single" w:sz="4" w:space="0" w:color="auto"/>
            </w:tcBorders>
            <w:vAlign w:val="center"/>
          </w:tcPr>
          <w:p w14:paraId="0C23C8F1"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53E07820" w14:textId="77777777" w:rsidR="00A30C63" w:rsidRPr="005F2C03" w:rsidRDefault="00A30C63">
            <w:pPr>
              <w:jc w:val="center"/>
              <w:rPr>
                <w:rFonts w:cs="Arial"/>
                <w:sz w:val="20"/>
              </w:rPr>
            </w:pPr>
            <w:r w:rsidRPr="005F2C03">
              <w:rPr>
                <w:rFonts w:cs="Arial"/>
                <w:sz w:val="20"/>
              </w:rPr>
              <w:t>Vida Individual, Vida Grupo y Salud.</w:t>
            </w:r>
          </w:p>
        </w:tc>
      </w:tr>
      <w:tr w:rsidR="00A30C63" w:rsidRPr="005F2C03" w14:paraId="6169C1DF"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2E59C7AF" w14:textId="77777777" w:rsidR="00A30C63" w:rsidRPr="005F2C03" w:rsidRDefault="00A30C63">
            <w:pPr>
              <w:jc w:val="center"/>
              <w:rPr>
                <w:rFonts w:cs="Arial"/>
                <w:noProof/>
                <w:sz w:val="20"/>
              </w:rPr>
            </w:pPr>
            <w:r w:rsidRPr="005F2C03">
              <w:rPr>
                <w:rFonts w:cs="Arial"/>
                <w:noProof/>
                <w:sz w:val="20"/>
              </w:rPr>
              <w:t>9</w:t>
            </w:r>
          </w:p>
        </w:tc>
        <w:tc>
          <w:tcPr>
            <w:tcW w:w="2173" w:type="pct"/>
            <w:tcBorders>
              <w:top w:val="single" w:sz="4" w:space="0" w:color="auto"/>
              <w:left w:val="single" w:sz="4" w:space="0" w:color="auto"/>
              <w:bottom w:val="single" w:sz="4" w:space="0" w:color="auto"/>
              <w:right w:val="single" w:sz="4" w:space="0" w:color="auto"/>
            </w:tcBorders>
            <w:vAlign w:val="center"/>
          </w:tcPr>
          <w:p w14:paraId="454E4E4E" w14:textId="6B460D3E" w:rsidR="00A30C63" w:rsidRPr="005F2C03" w:rsidRDefault="00A30C63">
            <w:pPr>
              <w:jc w:val="center"/>
              <w:rPr>
                <w:rFonts w:cs="Arial"/>
                <w:noProof/>
                <w:sz w:val="20"/>
              </w:rPr>
            </w:pPr>
            <w:r w:rsidRPr="005F2C03">
              <w:rPr>
                <w:rFonts w:cs="Arial"/>
                <w:noProof/>
                <w:sz w:val="20"/>
              </w:rPr>
              <w:drawing>
                <wp:inline distT="0" distB="0" distL="0" distR="0" wp14:anchorId="53CA7541" wp14:editId="50B28285">
                  <wp:extent cx="1494155" cy="354965"/>
                  <wp:effectExtent l="0" t="0" r="0" b="6985"/>
                  <wp:docPr id="494995689" name="Imagen 3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Logotip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t="26515" b="26756"/>
                          <a:stretch>
                            <a:fillRect/>
                          </a:stretch>
                        </pic:blipFill>
                        <pic:spPr bwMode="auto">
                          <a:xfrm>
                            <a:off x="0" y="0"/>
                            <a:ext cx="1494155" cy="354965"/>
                          </a:xfrm>
                          <a:prstGeom prst="rect">
                            <a:avLst/>
                          </a:prstGeom>
                          <a:noFill/>
                          <a:ln>
                            <a:noFill/>
                          </a:ln>
                        </pic:spPr>
                      </pic:pic>
                    </a:graphicData>
                  </a:graphic>
                </wp:inline>
              </w:drawing>
            </w:r>
          </w:p>
          <w:p w14:paraId="681ED5FC" w14:textId="77777777" w:rsidR="00A30C63" w:rsidRPr="005F2C03" w:rsidRDefault="00A30C63">
            <w:pPr>
              <w:jc w:val="center"/>
              <w:rPr>
                <w:rFonts w:cs="Arial"/>
                <w:noProof/>
                <w:sz w:val="20"/>
              </w:rPr>
            </w:pPr>
            <w:r w:rsidRPr="005F2C03">
              <w:rPr>
                <w:rFonts w:cs="Arial"/>
                <w:noProof/>
                <w:sz w:val="20"/>
              </w:rPr>
              <w:t>CARDIF COLOMBIA SEGUROS GENERALES S.A</w:t>
            </w:r>
          </w:p>
          <w:p w14:paraId="0204019D" w14:textId="77777777" w:rsidR="00A30C63" w:rsidRPr="005F2C03" w:rsidRDefault="00A30C63">
            <w:pPr>
              <w:jc w:val="center"/>
              <w:rPr>
                <w:rFonts w:cs="Arial"/>
                <w:noProof/>
                <w:sz w:val="20"/>
              </w:rPr>
            </w:pPr>
          </w:p>
          <w:p w14:paraId="6EBE8813" w14:textId="77777777" w:rsidR="00A30C63" w:rsidRPr="005F2C03" w:rsidRDefault="00A30C63">
            <w:pPr>
              <w:jc w:val="center"/>
              <w:rPr>
                <w:rFonts w:cs="Arial"/>
                <w:noProof/>
                <w:sz w:val="20"/>
              </w:rPr>
            </w:pPr>
            <w:r w:rsidRPr="005F2C03">
              <w:rPr>
                <w:rFonts w:cs="Arial"/>
                <w:noProof/>
                <w:sz w:val="20"/>
              </w:rPr>
              <w:t>Carrera 7 No.75-66 piso 10</w:t>
            </w:r>
          </w:p>
          <w:p w14:paraId="1E7728E8" w14:textId="77777777" w:rsidR="00A30C63" w:rsidRPr="005F2C03" w:rsidRDefault="00A30C63">
            <w:pPr>
              <w:jc w:val="center"/>
              <w:rPr>
                <w:rFonts w:cs="Arial"/>
                <w:noProof/>
                <w:sz w:val="20"/>
              </w:rPr>
            </w:pPr>
            <w:r w:rsidRPr="005F2C03">
              <w:rPr>
                <w:rFonts w:cs="Arial"/>
                <w:noProof/>
                <w:sz w:val="20"/>
              </w:rPr>
              <w:t>Bogotá, D.C., Colombia</w:t>
            </w:r>
          </w:p>
          <w:p w14:paraId="5C691B54" w14:textId="77777777" w:rsidR="00A30C63" w:rsidRPr="005F2C03" w:rsidRDefault="00A30C63">
            <w:pPr>
              <w:jc w:val="center"/>
              <w:rPr>
                <w:rFonts w:cs="Arial"/>
                <w:noProof/>
                <w:sz w:val="20"/>
              </w:rPr>
            </w:pPr>
            <w:r w:rsidRPr="005F2C03">
              <w:rPr>
                <w:rFonts w:cs="Arial"/>
                <w:noProof/>
                <w:sz w:val="20"/>
              </w:rPr>
              <w:t>Conmutador: 744 40 40</w:t>
            </w:r>
          </w:p>
          <w:p w14:paraId="474A578E" w14:textId="77777777" w:rsidR="00A30C63" w:rsidRPr="005F2C03" w:rsidRDefault="00A30C63">
            <w:pPr>
              <w:jc w:val="center"/>
              <w:rPr>
                <w:rFonts w:cs="Arial"/>
                <w:noProof/>
                <w:sz w:val="20"/>
              </w:rPr>
            </w:pPr>
            <w:r w:rsidRPr="005F2C03">
              <w:rPr>
                <w:rFonts w:cs="Arial"/>
                <w:noProof/>
                <w:sz w:val="20"/>
              </w:rPr>
              <w:t>Fax: 742 40 12</w:t>
            </w:r>
          </w:p>
        </w:tc>
        <w:tc>
          <w:tcPr>
            <w:tcW w:w="1524" w:type="pct"/>
            <w:tcBorders>
              <w:top w:val="single" w:sz="4" w:space="0" w:color="auto"/>
              <w:left w:val="single" w:sz="4" w:space="0" w:color="auto"/>
              <w:bottom w:val="single" w:sz="4" w:space="0" w:color="auto"/>
              <w:right w:val="single" w:sz="4" w:space="0" w:color="auto"/>
            </w:tcBorders>
            <w:vAlign w:val="center"/>
            <w:hideMark/>
          </w:tcPr>
          <w:p w14:paraId="0A0DCDF6" w14:textId="77777777" w:rsidR="00A30C63" w:rsidRPr="005F2C03" w:rsidRDefault="00A30C63">
            <w:pPr>
              <w:jc w:val="center"/>
              <w:rPr>
                <w:rFonts w:cs="Arial"/>
                <w:sz w:val="20"/>
              </w:rPr>
            </w:pPr>
            <w:r w:rsidRPr="005F2C03">
              <w:rPr>
                <w:rFonts w:cs="Arial"/>
                <w:sz w:val="20"/>
              </w:rPr>
              <w:t>Sustracción</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EA31502" w14:textId="77777777" w:rsidR="00A30C63" w:rsidRPr="005F2C03" w:rsidRDefault="00A30C63">
            <w:pPr>
              <w:jc w:val="center"/>
              <w:rPr>
                <w:rFonts w:cs="Arial"/>
                <w:sz w:val="20"/>
              </w:rPr>
            </w:pPr>
            <w:r w:rsidRPr="005F2C03">
              <w:rPr>
                <w:rFonts w:cs="Arial"/>
                <w:sz w:val="20"/>
              </w:rPr>
              <w:t>Vida Grupo, Desempleo, Accidentes Personales</w:t>
            </w:r>
          </w:p>
        </w:tc>
      </w:tr>
      <w:tr w:rsidR="00A30C63" w:rsidRPr="005F2C03" w14:paraId="7D9649DF"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313F612D" w14:textId="77777777" w:rsidR="00A30C63" w:rsidRPr="005F2C03" w:rsidRDefault="00A30C63">
            <w:pPr>
              <w:jc w:val="center"/>
              <w:rPr>
                <w:rFonts w:cs="Arial"/>
                <w:noProof/>
                <w:sz w:val="20"/>
              </w:rPr>
            </w:pPr>
            <w:r w:rsidRPr="005F2C03">
              <w:rPr>
                <w:rFonts w:cs="Arial"/>
                <w:noProof/>
                <w:sz w:val="20"/>
              </w:rPr>
              <w:t>10</w:t>
            </w:r>
          </w:p>
        </w:tc>
        <w:tc>
          <w:tcPr>
            <w:tcW w:w="2173" w:type="pct"/>
            <w:tcBorders>
              <w:top w:val="single" w:sz="4" w:space="0" w:color="auto"/>
              <w:left w:val="single" w:sz="4" w:space="0" w:color="auto"/>
              <w:bottom w:val="single" w:sz="4" w:space="0" w:color="auto"/>
              <w:right w:val="single" w:sz="4" w:space="0" w:color="auto"/>
            </w:tcBorders>
            <w:vAlign w:val="center"/>
          </w:tcPr>
          <w:p w14:paraId="677FDB07" w14:textId="210C0581" w:rsidR="00A30C63" w:rsidRPr="005F2C03" w:rsidRDefault="00A30C63">
            <w:pPr>
              <w:jc w:val="center"/>
              <w:rPr>
                <w:rFonts w:cs="Arial"/>
                <w:noProof/>
                <w:sz w:val="20"/>
              </w:rPr>
            </w:pPr>
            <w:r w:rsidRPr="005F2C03">
              <w:rPr>
                <w:rFonts w:cs="Arial"/>
                <w:noProof/>
                <w:sz w:val="20"/>
              </w:rPr>
              <w:drawing>
                <wp:inline distT="0" distB="0" distL="0" distR="0" wp14:anchorId="19010EB7" wp14:editId="26658E2C">
                  <wp:extent cx="1439545" cy="293370"/>
                  <wp:effectExtent l="0" t="0" r="8255" b="0"/>
                  <wp:docPr id="1992371005" name="Imagen 3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Logotip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t="34607" b="28386"/>
                          <a:stretch>
                            <a:fillRect/>
                          </a:stretch>
                        </pic:blipFill>
                        <pic:spPr bwMode="auto">
                          <a:xfrm>
                            <a:off x="0" y="0"/>
                            <a:ext cx="1439545" cy="293370"/>
                          </a:xfrm>
                          <a:prstGeom prst="rect">
                            <a:avLst/>
                          </a:prstGeom>
                          <a:noFill/>
                          <a:ln>
                            <a:noFill/>
                          </a:ln>
                        </pic:spPr>
                      </pic:pic>
                    </a:graphicData>
                  </a:graphic>
                </wp:inline>
              </w:drawing>
            </w:r>
          </w:p>
          <w:p w14:paraId="2F029A06" w14:textId="77777777" w:rsidR="00A30C63" w:rsidRPr="005F2C03" w:rsidRDefault="00A30C63">
            <w:pPr>
              <w:jc w:val="center"/>
              <w:rPr>
                <w:rFonts w:cs="Arial"/>
                <w:noProof/>
                <w:sz w:val="20"/>
              </w:rPr>
            </w:pPr>
            <w:r w:rsidRPr="005F2C03">
              <w:rPr>
                <w:rFonts w:cs="Arial"/>
                <w:noProof/>
                <w:sz w:val="20"/>
              </w:rPr>
              <w:t>CHUBB SEGUROS COLOMBIA S.A.</w:t>
            </w:r>
          </w:p>
          <w:p w14:paraId="11DBA309" w14:textId="77777777" w:rsidR="00A30C63" w:rsidRPr="005F2C03" w:rsidRDefault="00A30C63">
            <w:pPr>
              <w:jc w:val="center"/>
              <w:rPr>
                <w:rFonts w:cs="Arial"/>
                <w:noProof/>
                <w:sz w:val="20"/>
              </w:rPr>
            </w:pPr>
          </w:p>
          <w:p w14:paraId="320A555B" w14:textId="77777777" w:rsidR="00A30C63" w:rsidRPr="005F2C03" w:rsidRDefault="00A30C63">
            <w:pPr>
              <w:jc w:val="center"/>
              <w:rPr>
                <w:rFonts w:cs="Arial"/>
                <w:noProof/>
                <w:sz w:val="20"/>
              </w:rPr>
            </w:pPr>
            <w:r w:rsidRPr="005F2C03">
              <w:rPr>
                <w:rFonts w:cs="Arial"/>
                <w:noProof/>
                <w:sz w:val="20"/>
              </w:rPr>
              <w:t>Carrera 7a. No. 71-21 Torre B Piso 7 Ed. Avenida Chile</w:t>
            </w:r>
          </w:p>
          <w:p w14:paraId="517949AB" w14:textId="77777777" w:rsidR="00A30C63" w:rsidRPr="005F2C03" w:rsidRDefault="00A30C63">
            <w:pPr>
              <w:jc w:val="center"/>
              <w:rPr>
                <w:rFonts w:cs="Arial"/>
                <w:noProof/>
                <w:sz w:val="20"/>
              </w:rPr>
            </w:pPr>
            <w:r w:rsidRPr="005F2C03">
              <w:rPr>
                <w:rFonts w:cs="Arial"/>
                <w:noProof/>
                <w:sz w:val="20"/>
              </w:rPr>
              <w:t>Edificio Banco Ganadero</w:t>
            </w:r>
          </w:p>
          <w:p w14:paraId="350BF525" w14:textId="77777777" w:rsidR="00A30C63" w:rsidRPr="005F2C03" w:rsidRDefault="00A30C63">
            <w:pPr>
              <w:jc w:val="center"/>
              <w:rPr>
                <w:rFonts w:cs="Arial"/>
                <w:noProof/>
                <w:sz w:val="20"/>
              </w:rPr>
            </w:pPr>
            <w:r w:rsidRPr="005F2C03">
              <w:rPr>
                <w:rFonts w:cs="Arial"/>
                <w:noProof/>
                <w:sz w:val="20"/>
              </w:rPr>
              <w:t>Bogotá, D.C., Colombia Apartado Postal: 26931</w:t>
            </w:r>
          </w:p>
          <w:p w14:paraId="26C865FC" w14:textId="77777777" w:rsidR="00A30C63" w:rsidRPr="005F2C03" w:rsidRDefault="00A30C63">
            <w:pPr>
              <w:jc w:val="center"/>
              <w:rPr>
                <w:rFonts w:cs="Arial"/>
                <w:noProof/>
                <w:sz w:val="20"/>
              </w:rPr>
            </w:pPr>
            <w:r w:rsidRPr="005F2C03">
              <w:rPr>
                <w:rFonts w:cs="Arial"/>
                <w:noProof/>
                <w:sz w:val="20"/>
              </w:rPr>
              <w:t>Fax: (601) 3190408 - (601) 3190304</w:t>
            </w:r>
          </w:p>
          <w:p w14:paraId="70FD2A58" w14:textId="77777777" w:rsidR="00A30C63" w:rsidRPr="005F2C03" w:rsidRDefault="00A30C63">
            <w:pPr>
              <w:jc w:val="center"/>
              <w:rPr>
                <w:rFonts w:cs="Arial"/>
                <w:noProof/>
                <w:sz w:val="20"/>
              </w:rPr>
            </w:pPr>
            <w:r w:rsidRPr="005F2C03">
              <w:rPr>
                <w:rFonts w:cs="Arial"/>
                <w:noProof/>
                <w:sz w:val="20"/>
              </w:rPr>
              <w:t>NIT: 8600265186</w:t>
            </w:r>
          </w:p>
        </w:tc>
        <w:tc>
          <w:tcPr>
            <w:tcW w:w="1524" w:type="pct"/>
            <w:tcBorders>
              <w:top w:val="single" w:sz="4" w:space="0" w:color="auto"/>
              <w:left w:val="single" w:sz="4" w:space="0" w:color="auto"/>
              <w:bottom w:val="single" w:sz="4" w:space="0" w:color="auto"/>
              <w:right w:val="single" w:sz="4" w:space="0" w:color="auto"/>
            </w:tcBorders>
            <w:vAlign w:val="center"/>
            <w:hideMark/>
          </w:tcPr>
          <w:p w14:paraId="3B4E5BD8" w14:textId="77777777" w:rsidR="00A30C63" w:rsidRPr="005F2C03" w:rsidRDefault="00A30C63">
            <w:pPr>
              <w:jc w:val="center"/>
              <w:rPr>
                <w:rFonts w:cs="Arial"/>
                <w:sz w:val="20"/>
              </w:rPr>
            </w:pPr>
            <w:r w:rsidRPr="005F2C03">
              <w:rPr>
                <w:rFonts w:cs="Arial"/>
                <w:sz w:val="20"/>
              </w:rPr>
              <w:t>Automóviles, Corriente Débil, Cumplimiento, Incendio, Lucro Cesante, Manejo, Responsabilidad Civil, Montaje y Rotura de Maquinaria, Navegación, Sustracción, Terremoto, Todo Riesgo para Contratistas, Transporte, Minas y Petróleos y Multirriesgo Industrial.</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8263A45" w14:textId="77777777" w:rsidR="00A30C63" w:rsidRPr="005F2C03" w:rsidRDefault="00A30C63">
            <w:pPr>
              <w:jc w:val="center"/>
              <w:rPr>
                <w:rFonts w:cs="Arial"/>
                <w:sz w:val="20"/>
              </w:rPr>
            </w:pPr>
            <w:r w:rsidRPr="005F2C03">
              <w:rPr>
                <w:rFonts w:cs="Arial"/>
                <w:sz w:val="20"/>
              </w:rPr>
              <w:t>Accidentes Personales, Colectivo Vida, Vida Grupo, Salud</w:t>
            </w:r>
          </w:p>
        </w:tc>
      </w:tr>
      <w:tr w:rsidR="00A30C63" w:rsidRPr="005F2C03" w14:paraId="537A7146"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099CE3EE" w14:textId="77777777" w:rsidR="00A30C63" w:rsidRPr="005F2C03" w:rsidRDefault="00A30C63">
            <w:pPr>
              <w:jc w:val="center"/>
              <w:rPr>
                <w:rFonts w:cs="Arial"/>
                <w:noProof/>
                <w:sz w:val="20"/>
              </w:rPr>
            </w:pPr>
            <w:r w:rsidRPr="005F2C03">
              <w:rPr>
                <w:rFonts w:cs="Arial"/>
                <w:noProof/>
                <w:sz w:val="20"/>
              </w:rPr>
              <w:t>11</w:t>
            </w:r>
          </w:p>
        </w:tc>
        <w:tc>
          <w:tcPr>
            <w:tcW w:w="2173" w:type="pct"/>
            <w:tcBorders>
              <w:top w:val="single" w:sz="4" w:space="0" w:color="auto"/>
              <w:left w:val="single" w:sz="4" w:space="0" w:color="auto"/>
              <w:bottom w:val="single" w:sz="4" w:space="0" w:color="auto"/>
              <w:right w:val="single" w:sz="4" w:space="0" w:color="auto"/>
            </w:tcBorders>
            <w:vAlign w:val="center"/>
          </w:tcPr>
          <w:p w14:paraId="62E0D4EF" w14:textId="1B1B6E95" w:rsidR="00A30C63" w:rsidRPr="005F2C03" w:rsidRDefault="00A30C63">
            <w:pPr>
              <w:jc w:val="center"/>
              <w:rPr>
                <w:rFonts w:cs="Arial"/>
                <w:noProof/>
                <w:sz w:val="20"/>
              </w:rPr>
            </w:pPr>
            <w:r w:rsidRPr="005F2C03">
              <w:rPr>
                <w:rFonts w:cs="Arial"/>
                <w:noProof/>
                <w:sz w:val="20"/>
              </w:rPr>
              <w:drawing>
                <wp:inline distT="0" distB="0" distL="0" distR="0" wp14:anchorId="589E3CA0" wp14:editId="116642C0">
                  <wp:extent cx="1371600" cy="464185"/>
                  <wp:effectExtent l="0" t="0" r="0" b="0"/>
                  <wp:docPr id="1904719667" name="Imagen 3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Logotipo, nombre de la empresa&#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t="20206" b="21542"/>
                          <a:stretch>
                            <a:fillRect/>
                          </a:stretch>
                        </pic:blipFill>
                        <pic:spPr bwMode="auto">
                          <a:xfrm>
                            <a:off x="0" y="0"/>
                            <a:ext cx="1371600" cy="464185"/>
                          </a:xfrm>
                          <a:prstGeom prst="rect">
                            <a:avLst/>
                          </a:prstGeom>
                          <a:noFill/>
                          <a:ln>
                            <a:noFill/>
                          </a:ln>
                        </pic:spPr>
                      </pic:pic>
                    </a:graphicData>
                  </a:graphic>
                </wp:inline>
              </w:drawing>
            </w:r>
          </w:p>
          <w:p w14:paraId="6655CCDB" w14:textId="77777777" w:rsidR="00A30C63" w:rsidRPr="005F2C03" w:rsidRDefault="00A30C63">
            <w:pPr>
              <w:jc w:val="center"/>
              <w:rPr>
                <w:rFonts w:cs="Arial"/>
                <w:noProof/>
                <w:sz w:val="20"/>
              </w:rPr>
            </w:pPr>
            <w:r w:rsidRPr="005F2C03">
              <w:rPr>
                <w:rFonts w:cs="Arial"/>
                <w:noProof/>
                <w:sz w:val="20"/>
              </w:rPr>
              <w:t>COFACE COLOMBIA SEGUROS DE CRÉDITO S.A</w:t>
            </w:r>
          </w:p>
          <w:p w14:paraId="04A0ED51" w14:textId="77777777" w:rsidR="00A30C63" w:rsidRPr="005F2C03" w:rsidRDefault="00A30C63">
            <w:pPr>
              <w:rPr>
                <w:rFonts w:cs="Arial"/>
                <w:noProof/>
                <w:sz w:val="20"/>
              </w:rPr>
            </w:pPr>
          </w:p>
          <w:p w14:paraId="2CBCE44A" w14:textId="77777777" w:rsidR="00A30C63" w:rsidRPr="005F2C03" w:rsidRDefault="00A30C63">
            <w:pPr>
              <w:jc w:val="center"/>
              <w:rPr>
                <w:rFonts w:cs="Arial"/>
                <w:noProof/>
                <w:sz w:val="20"/>
              </w:rPr>
            </w:pPr>
            <w:r w:rsidRPr="005F2C03">
              <w:rPr>
                <w:rFonts w:cs="Arial"/>
                <w:noProof/>
                <w:sz w:val="20"/>
              </w:rPr>
              <w:t>Carrera 11 No. 90 - 55 Piso 5</w:t>
            </w:r>
          </w:p>
          <w:p w14:paraId="658EB6A2" w14:textId="77777777" w:rsidR="00A30C63" w:rsidRPr="005F2C03" w:rsidRDefault="00A30C63">
            <w:pPr>
              <w:jc w:val="center"/>
              <w:rPr>
                <w:rFonts w:cs="Arial"/>
                <w:noProof/>
                <w:sz w:val="20"/>
              </w:rPr>
            </w:pPr>
            <w:r w:rsidRPr="005F2C03">
              <w:rPr>
                <w:rFonts w:cs="Arial"/>
                <w:noProof/>
                <w:sz w:val="20"/>
              </w:rPr>
              <w:t>Bogotá, D.C., Colombia</w:t>
            </w:r>
          </w:p>
          <w:p w14:paraId="2F015732" w14:textId="77777777" w:rsidR="00A30C63" w:rsidRPr="005F2C03" w:rsidRDefault="00A30C63">
            <w:pPr>
              <w:jc w:val="center"/>
              <w:rPr>
                <w:rFonts w:cs="Arial"/>
                <w:noProof/>
                <w:sz w:val="20"/>
              </w:rPr>
            </w:pPr>
            <w:r w:rsidRPr="005F2C03">
              <w:rPr>
                <w:rFonts w:cs="Arial"/>
                <w:noProof/>
                <w:sz w:val="20"/>
              </w:rPr>
              <w:t>Teléfono: 6231631 / 32</w:t>
            </w:r>
          </w:p>
          <w:p w14:paraId="617AD3AE" w14:textId="77777777" w:rsidR="00A30C63" w:rsidRPr="005F2C03" w:rsidRDefault="00A30C63">
            <w:pPr>
              <w:jc w:val="center"/>
              <w:rPr>
                <w:rFonts w:cs="Arial"/>
                <w:noProof/>
                <w:sz w:val="20"/>
              </w:rPr>
            </w:pPr>
            <w:r w:rsidRPr="005F2C03">
              <w:rPr>
                <w:rFonts w:cs="Arial"/>
                <w:noProof/>
                <w:sz w:val="20"/>
              </w:rPr>
              <w:t>Fax: 6234190</w:t>
            </w:r>
          </w:p>
        </w:tc>
        <w:tc>
          <w:tcPr>
            <w:tcW w:w="1524" w:type="pct"/>
            <w:tcBorders>
              <w:top w:val="single" w:sz="4" w:space="0" w:color="auto"/>
              <w:left w:val="single" w:sz="4" w:space="0" w:color="auto"/>
              <w:bottom w:val="single" w:sz="4" w:space="0" w:color="auto"/>
              <w:right w:val="single" w:sz="4" w:space="0" w:color="auto"/>
            </w:tcBorders>
            <w:vAlign w:val="center"/>
          </w:tcPr>
          <w:p w14:paraId="4017B518" w14:textId="77777777" w:rsidR="00A30C63" w:rsidRPr="005F2C03" w:rsidRDefault="00A30C63">
            <w:pPr>
              <w:jc w:val="center"/>
              <w:rPr>
                <w:rFonts w:cs="Arial"/>
                <w:sz w:val="20"/>
              </w:rPr>
            </w:pPr>
            <w:r w:rsidRPr="005F2C03">
              <w:rPr>
                <w:rFonts w:cs="Arial"/>
                <w:sz w:val="20"/>
              </w:rPr>
              <w:t>Seguro de Crédito a la Exportación Global, Seguro de Crédito Doméstico.</w:t>
            </w:r>
          </w:p>
          <w:p w14:paraId="688B2F5C"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tcPr>
          <w:p w14:paraId="3EA4CDDD" w14:textId="77777777" w:rsidR="00A30C63" w:rsidRPr="005F2C03" w:rsidRDefault="00A30C63">
            <w:pPr>
              <w:jc w:val="center"/>
              <w:rPr>
                <w:rFonts w:cs="Arial"/>
                <w:sz w:val="20"/>
              </w:rPr>
            </w:pPr>
          </w:p>
        </w:tc>
      </w:tr>
      <w:tr w:rsidR="00A30C63" w:rsidRPr="005F2C03" w14:paraId="402A2A40"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1B586A0A" w14:textId="77777777" w:rsidR="00A30C63" w:rsidRPr="005F2C03" w:rsidRDefault="00A30C63">
            <w:pPr>
              <w:jc w:val="center"/>
              <w:rPr>
                <w:rFonts w:cs="Arial"/>
                <w:noProof/>
                <w:sz w:val="20"/>
              </w:rPr>
            </w:pPr>
            <w:r w:rsidRPr="005F2C03">
              <w:rPr>
                <w:rFonts w:cs="Arial"/>
                <w:noProof/>
                <w:sz w:val="20"/>
              </w:rPr>
              <w:t>12</w:t>
            </w:r>
          </w:p>
        </w:tc>
        <w:tc>
          <w:tcPr>
            <w:tcW w:w="2173" w:type="pct"/>
            <w:tcBorders>
              <w:top w:val="single" w:sz="4" w:space="0" w:color="auto"/>
              <w:left w:val="single" w:sz="4" w:space="0" w:color="auto"/>
              <w:bottom w:val="single" w:sz="4" w:space="0" w:color="auto"/>
              <w:right w:val="single" w:sz="4" w:space="0" w:color="auto"/>
            </w:tcBorders>
            <w:vAlign w:val="center"/>
          </w:tcPr>
          <w:p w14:paraId="29E8D2C8" w14:textId="77777777" w:rsidR="00A30C63" w:rsidRPr="005F2C03" w:rsidRDefault="00A30C63">
            <w:pPr>
              <w:jc w:val="center"/>
              <w:rPr>
                <w:rFonts w:cs="Arial"/>
                <w:noProof/>
                <w:sz w:val="20"/>
              </w:rPr>
            </w:pPr>
          </w:p>
          <w:p w14:paraId="63EB11A1" w14:textId="5C89CE4D" w:rsidR="00A30C63" w:rsidRPr="005F2C03" w:rsidRDefault="00A30C63">
            <w:pPr>
              <w:jc w:val="center"/>
              <w:rPr>
                <w:rFonts w:cs="Arial"/>
                <w:noProof/>
                <w:sz w:val="20"/>
              </w:rPr>
            </w:pPr>
            <w:r w:rsidRPr="005F2C03">
              <w:rPr>
                <w:rFonts w:cs="Arial"/>
                <w:noProof/>
                <w:sz w:val="20"/>
              </w:rPr>
              <w:lastRenderedPageBreak/>
              <w:drawing>
                <wp:inline distT="0" distB="0" distL="0" distR="0" wp14:anchorId="49889E2A" wp14:editId="411BA4B0">
                  <wp:extent cx="1426210" cy="511810"/>
                  <wp:effectExtent l="0" t="0" r="2540" b="2540"/>
                  <wp:docPr id="1308109321" name="Imagen 3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n que contiene Logotipo&#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t="16386" b="15520"/>
                          <a:stretch>
                            <a:fillRect/>
                          </a:stretch>
                        </pic:blipFill>
                        <pic:spPr bwMode="auto">
                          <a:xfrm>
                            <a:off x="0" y="0"/>
                            <a:ext cx="1426210" cy="511810"/>
                          </a:xfrm>
                          <a:prstGeom prst="rect">
                            <a:avLst/>
                          </a:prstGeom>
                          <a:noFill/>
                          <a:ln>
                            <a:noFill/>
                          </a:ln>
                        </pic:spPr>
                      </pic:pic>
                    </a:graphicData>
                  </a:graphic>
                </wp:inline>
              </w:drawing>
            </w:r>
          </w:p>
          <w:p w14:paraId="4C10388F" w14:textId="77777777" w:rsidR="00A30C63" w:rsidRPr="005F2C03" w:rsidRDefault="00A30C63">
            <w:pPr>
              <w:jc w:val="center"/>
              <w:rPr>
                <w:rFonts w:cs="Arial"/>
                <w:noProof/>
                <w:sz w:val="20"/>
              </w:rPr>
            </w:pPr>
            <w:r w:rsidRPr="005F2C03">
              <w:rPr>
                <w:rFonts w:cs="Arial"/>
                <w:noProof/>
                <w:sz w:val="20"/>
              </w:rPr>
              <w:t>COLMENA SEGUROS SA</w:t>
            </w:r>
          </w:p>
          <w:p w14:paraId="2556B572" w14:textId="77777777" w:rsidR="00A30C63" w:rsidRPr="005F2C03" w:rsidRDefault="00A30C63">
            <w:pPr>
              <w:jc w:val="center"/>
              <w:rPr>
                <w:rFonts w:cs="Arial"/>
                <w:noProof/>
                <w:sz w:val="20"/>
              </w:rPr>
            </w:pPr>
          </w:p>
          <w:p w14:paraId="0A7B94AF" w14:textId="77777777" w:rsidR="00A30C63" w:rsidRPr="005F2C03" w:rsidRDefault="00A30C63">
            <w:pPr>
              <w:jc w:val="center"/>
              <w:rPr>
                <w:rFonts w:cs="Arial"/>
                <w:noProof/>
                <w:sz w:val="20"/>
              </w:rPr>
            </w:pPr>
            <w:r w:rsidRPr="005F2C03">
              <w:rPr>
                <w:rFonts w:cs="Arial"/>
                <w:noProof/>
                <w:sz w:val="20"/>
              </w:rPr>
              <w:t>Dirección General: Calle 72 No. 10-07 Edificio Banco Caja Social, Pisos 4, 5 y 6</w:t>
            </w:r>
            <w:r w:rsidRPr="005F2C03">
              <w:rPr>
                <w:rFonts w:cs="Arial"/>
                <w:noProof/>
                <w:sz w:val="20"/>
              </w:rPr>
              <w:br/>
              <w:t>Bogotá, D.C., Colombia</w:t>
            </w:r>
            <w:r w:rsidRPr="005F2C03">
              <w:rPr>
                <w:rFonts w:cs="Arial"/>
                <w:noProof/>
                <w:sz w:val="20"/>
              </w:rPr>
              <w:br/>
              <w:t>Código postal: 110231</w:t>
            </w:r>
            <w:r w:rsidRPr="005F2C03">
              <w:rPr>
                <w:rFonts w:cs="Arial"/>
                <w:noProof/>
                <w:sz w:val="20"/>
              </w:rPr>
              <w:br/>
              <w:t>Fax: 324 08 66</w:t>
            </w:r>
            <w:r w:rsidRPr="005F2C03">
              <w:rPr>
                <w:rFonts w:cs="Arial"/>
                <w:noProof/>
                <w:sz w:val="20"/>
              </w:rPr>
              <w:br/>
              <w:t>Conmutador: 601 5141592</w:t>
            </w:r>
          </w:p>
        </w:tc>
        <w:tc>
          <w:tcPr>
            <w:tcW w:w="1524" w:type="pct"/>
            <w:tcBorders>
              <w:top w:val="single" w:sz="4" w:space="0" w:color="auto"/>
              <w:left w:val="single" w:sz="4" w:space="0" w:color="auto"/>
              <w:bottom w:val="single" w:sz="4" w:space="0" w:color="auto"/>
              <w:right w:val="single" w:sz="4" w:space="0" w:color="auto"/>
            </w:tcBorders>
            <w:vAlign w:val="center"/>
            <w:hideMark/>
          </w:tcPr>
          <w:p w14:paraId="4203AEE1" w14:textId="77777777" w:rsidR="00A30C63" w:rsidRPr="005F2C03" w:rsidRDefault="00A30C63">
            <w:pPr>
              <w:jc w:val="center"/>
              <w:rPr>
                <w:rFonts w:cs="Arial"/>
                <w:sz w:val="20"/>
              </w:rPr>
            </w:pPr>
            <w:r w:rsidRPr="005F2C03">
              <w:rPr>
                <w:rFonts w:cs="Arial"/>
                <w:color w:val="000000"/>
                <w:sz w:val="20"/>
                <w:shd w:val="clear" w:color="auto" w:fill="FCFCFC"/>
              </w:rPr>
              <w:lastRenderedPageBreak/>
              <w:t>Desempleo, Seguros Generales</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258B526" w14:textId="77777777" w:rsidR="00A30C63" w:rsidRPr="005F2C03" w:rsidRDefault="00A30C63">
            <w:pPr>
              <w:jc w:val="center"/>
              <w:rPr>
                <w:rFonts w:cs="Arial"/>
                <w:sz w:val="20"/>
              </w:rPr>
            </w:pPr>
            <w:r w:rsidRPr="005F2C03">
              <w:rPr>
                <w:rFonts w:cs="Arial"/>
                <w:color w:val="000000"/>
                <w:sz w:val="20"/>
                <w:shd w:val="clear" w:color="auto" w:fill="FCFCFC"/>
              </w:rPr>
              <w:t>Riesgos Laborales, Vida Grupo, Salud, Exequias, Accidentes Personales</w:t>
            </w:r>
          </w:p>
        </w:tc>
      </w:tr>
      <w:tr w:rsidR="00A30C63" w:rsidRPr="005F2C03" w14:paraId="407E3790"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2CA3C2FA" w14:textId="77777777" w:rsidR="00A30C63" w:rsidRPr="005F2C03" w:rsidRDefault="00A30C63">
            <w:pPr>
              <w:jc w:val="center"/>
              <w:rPr>
                <w:rFonts w:cs="Arial"/>
                <w:noProof/>
                <w:sz w:val="20"/>
              </w:rPr>
            </w:pPr>
            <w:r w:rsidRPr="005F2C03">
              <w:rPr>
                <w:rFonts w:cs="Arial"/>
                <w:noProof/>
                <w:sz w:val="20"/>
              </w:rPr>
              <w:t>13</w:t>
            </w:r>
          </w:p>
        </w:tc>
        <w:tc>
          <w:tcPr>
            <w:tcW w:w="2173" w:type="pct"/>
            <w:tcBorders>
              <w:top w:val="single" w:sz="4" w:space="0" w:color="auto"/>
              <w:left w:val="single" w:sz="4" w:space="0" w:color="auto"/>
              <w:bottom w:val="single" w:sz="4" w:space="0" w:color="auto"/>
              <w:right w:val="single" w:sz="4" w:space="0" w:color="auto"/>
            </w:tcBorders>
            <w:vAlign w:val="center"/>
          </w:tcPr>
          <w:p w14:paraId="217BAF9D" w14:textId="37B4C0DF" w:rsidR="00A30C63" w:rsidRPr="005F2C03" w:rsidRDefault="00A30C63">
            <w:pPr>
              <w:jc w:val="center"/>
              <w:rPr>
                <w:rFonts w:cs="Arial"/>
                <w:noProof/>
                <w:sz w:val="20"/>
              </w:rPr>
            </w:pPr>
            <w:r w:rsidRPr="005F2C03">
              <w:rPr>
                <w:rFonts w:cs="Arial"/>
                <w:noProof/>
                <w:sz w:val="20"/>
              </w:rPr>
              <w:drawing>
                <wp:inline distT="0" distB="0" distL="0" distR="0" wp14:anchorId="19289B82" wp14:editId="649EB5E3">
                  <wp:extent cx="1316990" cy="354965"/>
                  <wp:effectExtent l="0" t="0" r="0" b="6985"/>
                  <wp:docPr id="1679788968" name="Imagen 3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Logotipo, nombre de la empres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t="28427" b="32590"/>
                          <a:stretch>
                            <a:fillRect/>
                          </a:stretch>
                        </pic:blipFill>
                        <pic:spPr bwMode="auto">
                          <a:xfrm>
                            <a:off x="0" y="0"/>
                            <a:ext cx="1316990" cy="354965"/>
                          </a:xfrm>
                          <a:prstGeom prst="rect">
                            <a:avLst/>
                          </a:prstGeom>
                          <a:noFill/>
                          <a:ln>
                            <a:noFill/>
                          </a:ln>
                        </pic:spPr>
                      </pic:pic>
                    </a:graphicData>
                  </a:graphic>
                </wp:inline>
              </w:drawing>
            </w:r>
          </w:p>
          <w:p w14:paraId="210CD5C1" w14:textId="77777777" w:rsidR="00A30C63" w:rsidRPr="005F2C03" w:rsidRDefault="00A30C63">
            <w:pPr>
              <w:jc w:val="center"/>
              <w:rPr>
                <w:rFonts w:cs="Arial"/>
                <w:noProof/>
                <w:sz w:val="20"/>
              </w:rPr>
            </w:pPr>
            <w:r w:rsidRPr="005F2C03">
              <w:rPr>
                <w:rFonts w:cs="Arial"/>
                <w:noProof/>
                <w:sz w:val="20"/>
              </w:rPr>
              <w:t>COLSANITAS SEGUROS</w:t>
            </w:r>
          </w:p>
          <w:p w14:paraId="04711E0A" w14:textId="77777777" w:rsidR="00A30C63" w:rsidRPr="005F2C03" w:rsidRDefault="00A30C63">
            <w:pPr>
              <w:jc w:val="center"/>
              <w:rPr>
                <w:rFonts w:cs="Arial"/>
                <w:noProof/>
                <w:sz w:val="20"/>
              </w:rPr>
            </w:pPr>
          </w:p>
          <w:p w14:paraId="029A1FB5" w14:textId="77777777" w:rsidR="00A30C63" w:rsidRPr="005F2C03" w:rsidRDefault="00A30C63">
            <w:pPr>
              <w:jc w:val="center"/>
              <w:rPr>
                <w:rFonts w:cs="Arial"/>
                <w:noProof/>
                <w:sz w:val="20"/>
              </w:rPr>
            </w:pPr>
            <w:r w:rsidRPr="005F2C03">
              <w:rPr>
                <w:rFonts w:cs="Arial"/>
                <w:noProof/>
                <w:sz w:val="20"/>
              </w:rPr>
              <w:t>Oficina Calle 100 No. 11B-67 Piso 4 Edificio. EPS</w:t>
            </w:r>
          </w:p>
          <w:p w14:paraId="6DBF0D76" w14:textId="77777777" w:rsidR="00A30C63" w:rsidRPr="005F2C03" w:rsidRDefault="00A30C63">
            <w:pPr>
              <w:jc w:val="center"/>
              <w:rPr>
                <w:rFonts w:cs="Arial"/>
                <w:noProof/>
                <w:sz w:val="20"/>
              </w:rPr>
            </w:pPr>
            <w:r w:rsidRPr="005F2C03">
              <w:rPr>
                <w:rFonts w:cs="Arial"/>
                <w:noProof/>
                <w:sz w:val="20"/>
              </w:rPr>
              <w:t>Bogotá, D.C., Colombia</w:t>
            </w:r>
          </w:p>
          <w:p w14:paraId="5574563D" w14:textId="77777777" w:rsidR="00A30C63" w:rsidRPr="005F2C03" w:rsidRDefault="00A30C63">
            <w:pPr>
              <w:jc w:val="center"/>
              <w:rPr>
                <w:rFonts w:cs="Arial"/>
                <w:noProof/>
                <w:sz w:val="20"/>
              </w:rPr>
            </w:pPr>
            <w:r w:rsidRPr="005F2C03">
              <w:rPr>
                <w:rFonts w:cs="Arial"/>
                <w:noProof/>
                <w:sz w:val="20"/>
              </w:rPr>
              <w:t>Linea Bogotá. 6017398939</w:t>
            </w:r>
          </w:p>
          <w:p w14:paraId="6B1D41FE" w14:textId="77777777" w:rsidR="00A30C63" w:rsidRPr="005F2C03" w:rsidRDefault="00A30C63">
            <w:pPr>
              <w:jc w:val="center"/>
              <w:rPr>
                <w:rFonts w:cs="Arial"/>
                <w:noProof/>
                <w:sz w:val="20"/>
              </w:rPr>
            </w:pPr>
            <w:r w:rsidRPr="005F2C03">
              <w:rPr>
                <w:rFonts w:cs="Arial"/>
                <w:noProof/>
                <w:sz w:val="20"/>
              </w:rPr>
              <w:t>Linea Nacional: 01800093101</w:t>
            </w:r>
          </w:p>
        </w:tc>
        <w:tc>
          <w:tcPr>
            <w:tcW w:w="1524" w:type="pct"/>
            <w:tcBorders>
              <w:top w:val="single" w:sz="4" w:space="0" w:color="auto"/>
              <w:left w:val="single" w:sz="4" w:space="0" w:color="auto"/>
              <w:bottom w:val="single" w:sz="4" w:space="0" w:color="auto"/>
              <w:right w:val="single" w:sz="4" w:space="0" w:color="auto"/>
            </w:tcBorders>
            <w:vAlign w:val="center"/>
          </w:tcPr>
          <w:p w14:paraId="5C799353"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3F15C047"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ARL</w:t>
            </w:r>
          </w:p>
        </w:tc>
      </w:tr>
      <w:tr w:rsidR="00A30C63" w:rsidRPr="005F2C03" w14:paraId="586083C0"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45266C00" w14:textId="77777777" w:rsidR="00A30C63" w:rsidRPr="005F2C03" w:rsidRDefault="00A30C63">
            <w:pPr>
              <w:jc w:val="center"/>
              <w:rPr>
                <w:rFonts w:cs="Arial"/>
                <w:noProof/>
                <w:sz w:val="20"/>
              </w:rPr>
            </w:pPr>
            <w:r w:rsidRPr="005F2C03">
              <w:rPr>
                <w:rFonts w:cs="Arial"/>
                <w:noProof/>
                <w:sz w:val="20"/>
              </w:rPr>
              <w:t>14</w:t>
            </w:r>
          </w:p>
        </w:tc>
        <w:tc>
          <w:tcPr>
            <w:tcW w:w="2173" w:type="pct"/>
            <w:tcBorders>
              <w:top w:val="single" w:sz="4" w:space="0" w:color="auto"/>
              <w:left w:val="single" w:sz="4" w:space="0" w:color="auto"/>
              <w:bottom w:val="single" w:sz="4" w:space="0" w:color="auto"/>
              <w:right w:val="single" w:sz="4" w:space="0" w:color="auto"/>
            </w:tcBorders>
            <w:vAlign w:val="center"/>
          </w:tcPr>
          <w:p w14:paraId="6E0A09EC" w14:textId="4C348A11" w:rsidR="00A30C63" w:rsidRPr="005F2C03" w:rsidRDefault="00A30C63">
            <w:pPr>
              <w:jc w:val="center"/>
              <w:rPr>
                <w:rFonts w:cs="Arial"/>
                <w:noProof/>
                <w:sz w:val="20"/>
              </w:rPr>
            </w:pPr>
            <w:r w:rsidRPr="005F2C03">
              <w:rPr>
                <w:rFonts w:cs="Arial"/>
                <w:noProof/>
                <w:sz w:val="20"/>
              </w:rPr>
              <w:drawing>
                <wp:inline distT="0" distB="0" distL="0" distR="0" wp14:anchorId="45E2936E" wp14:editId="7DA55ED8">
                  <wp:extent cx="1398905" cy="607060"/>
                  <wp:effectExtent l="0" t="0" r="0" b="2540"/>
                  <wp:docPr id="1957661180" name="Imagen 3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Logotipo, nombre de la empres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t="8846" b="10262"/>
                          <a:stretch>
                            <a:fillRect/>
                          </a:stretch>
                        </pic:blipFill>
                        <pic:spPr bwMode="auto">
                          <a:xfrm>
                            <a:off x="0" y="0"/>
                            <a:ext cx="1398905" cy="607060"/>
                          </a:xfrm>
                          <a:prstGeom prst="rect">
                            <a:avLst/>
                          </a:prstGeom>
                          <a:noFill/>
                          <a:ln>
                            <a:noFill/>
                          </a:ln>
                        </pic:spPr>
                      </pic:pic>
                    </a:graphicData>
                  </a:graphic>
                </wp:inline>
              </w:drawing>
            </w:r>
          </w:p>
          <w:p w14:paraId="122B9F58" w14:textId="77777777" w:rsidR="00A30C63" w:rsidRPr="005F2C03" w:rsidRDefault="00A30C63">
            <w:pPr>
              <w:jc w:val="center"/>
              <w:rPr>
                <w:rFonts w:cs="Arial"/>
                <w:noProof/>
                <w:sz w:val="20"/>
              </w:rPr>
            </w:pPr>
            <w:r w:rsidRPr="005F2C03">
              <w:rPr>
                <w:rFonts w:cs="Arial"/>
                <w:noProof/>
                <w:sz w:val="20"/>
              </w:rPr>
              <w:t>COMPAÑÍA ASEGURADORA DE FIANZAS S.A. CONFIANZA</w:t>
            </w:r>
          </w:p>
          <w:p w14:paraId="2E8CA925" w14:textId="77777777" w:rsidR="00A30C63" w:rsidRPr="005F2C03" w:rsidRDefault="00A30C63">
            <w:pPr>
              <w:jc w:val="center"/>
              <w:rPr>
                <w:rFonts w:cs="Arial"/>
                <w:noProof/>
                <w:sz w:val="20"/>
              </w:rPr>
            </w:pPr>
          </w:p>
          <w:p w14:paraId="6541B06E" w14:textId="77777777" w:rsidR="00A30C63" w:rsidRPr="005F2C03" w:rsidRDefault="00A30C63">
            <w:pPr>
              <w:jc w:val="center"/>
              <w:rPr>
                <w:rFonts w:cs="Arial"/>
                <w:noProof/>
                <w:sz w:val="20"/>
              </w:rPr>
            </w:pPr>
            <w:r w:rsidRPr="005F2C03">
              <w:rPr>
                <w:rFonts w:cs="Arial"/>
                <w:noProof/>
                <w:sz w:val="20"/>
              </w:rPr>
              <w:t>Calle 82 No. 11-37 Piso 7</w:t>
            </w:r>
          </w:p>
          <w:p w14:paraId="241A4A73" w14:textId="77777777" w:rsidR="00A30C63" w:rsidRPr="005F2C03" w:rsidRDefault="00A30C63">
            <w:pPr>
              <w:jc w:val="center"/>
              <w:rPr>
                <w:rFonts w:cs="Arial"/>
                <w:noProof/>
                <w:sz w:val="20"/>
              </w:rPr>
            </w:pPr>
            <w:r w:rsidRPr="005F2C03">
              <w:rPr>
                <w:rFonts w:cs="Arial"/>
                <w:noProof/>
                <w:sz w:val="20"/>
              </w:rPr>
              <w:t>Bogotá, D.C., Colombia</w:t>
            </w:r>
          </w:p>
          <w:p w14:paraId="1FA6D321" w14:textId="77777777" w:rsidR="00A30C63" w:rsidRPr="005F2C03" w:rsidRDefault="00A30C63">
            <w:pPr>
              <w:jc w:val="center"/>
              <w:rPr>
                <w:rFonts w:cs="Arial"/>
                <w:noProof/>
                <w:sz w:val="20"/>
              </w:rPr>
            </w:pPr>
            <w:r w:rsidRPr="005F2C03">
              <w:rPr>
                <w:rFonts w:cs="Arial"/>
                <w:noProof/>
                <w:sz w:val="20"/>
              </w:rPr>
              <w:t>Apartado Postal: 056965</w:t>
            </w:r>
          </w:p>
          <w:p w14:paraId="5DFE590D" w14:textId="77777777" w:rsidR="00A30C63" w:rsidRPr="005F2C03" w:rsidRDefault="00A30C63">
            <w:pPr>
              <w:jc w:val="center"/>
              <w:rPr>
                <w:rFonts w:cs="Arial"/>
                <w:noProof/>
                <w:sz w:val="20"/>
              </w:rPr>
            </w:pPr>
            <w:r w:rsidRPr="005F2C03">
              <w:rPr>
                <w:rFonts w:cs="Arial"/>
                <w:noProof/>
                <w:sz w:val="20"/>
              </w:rPr>
              <w:t>Fax: 610 88 66 y 610 87 00</w:t>
            </w:r>
          </w:p>
          <w:p w14:paraId="01AB2D2E" w14:textId="77777777" w:rsidR="00A30C63" w:rsidRPr="005F2C03" w:rsidRDefault="00A30C63">
            <w:pPr>
              <w:jc w:val="center"/>
              <w:rPr>
                <w:rFonts w:cs="Arial"/>
                <w:noProof/>
                <w:sz w:val="20"/>
              </w:rPr>
            </w:pPr>
            <w:r w:rsidRPr="005F2C03">
              <w:rPr>
                <w:rFonts w:cs="Arial"/>
                <w:noProof/>
                <w:sz w:val="20"/>
              </w:rPr>
              <w:t xml:space="preserve">E-mail: </w:t>
            </w:r>
            <w:hyperlink r:id="rId37" w:history="1">
              <w:r w:rsidRPr="005F2C03">
                <w:rPr>
                  <w:rStyle w:val="Hipervnculo"/>
                  <w:rFonts w:cs="Arial"/>
                  <w:noProof/>
                  <w:sz w:val="20"/>
                </w:rPr>
                <w:t>centrodecontacto@confianza.com.co</w:t>
              </w:r>
            </w:hyperlink>
          </w:p>
          <w:p w14:paraId="1EF0EEF1" w14:textId="77777777" w:rsidR="00A30C63" w:rsidRPr="005F2C03" w:rsidRDefault="00A30C63">
            <w:pPr>
              <w:jc w:val="center"/>
              <w:rPr>
                <w:rFonts w:cs="Arial"/>
                <w:noProof/>
                <w:sz w:val="20"/>
              </w:rPr>
            </w:pPr>
            <w:r w:rsidRPr="005F2C03">
              <w:rPr>
                <w:rFonts w:cs="Arial"/>
                <w:noProof/>
                <w:sz w:val="20"/>
              </w:rPr>
              <w:t>Nit.: 860.070.374-9</w:t>
            </w:r>
          </w:p>
        </w:tc>
        <w:tc>
          <w:tcPr>
            <w:tcW w:w="1524" w:type="pct"/>
            <w:tcBorders>
              <w:top w:val="single" w:sz="4" w:space="0" w:color="auto"/>
              <w:left w:val="single" w:sz="4" w:space="0" w:color="auto"/>
              <w:bottom w:val="single" w:sz="4" w:space="0" w:color="auto"/>
              <w:right w:val="single" w:sz="4" w:space="0" w:color="auto"/>
            </w:tcBorders>
            <w:vAlign w:val="center"/>
            <w:hideMark/>
          </w:tcPr>
          <w:p w14:paraId="1C0B53FE"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Cumplimiento, Responsabilidad Civil, Todo Riesgo Construcción y Montaje, Todo Riesgo Daño Material, Transporte.</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9A209D7"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Vida Grupo</w:t>
            </w:r>
          </w:p>
        </w:tc>
      </w:tr>
      <w:tr w:rsidR="00A30C63" w:rsidRPr="005F2C03" w14:paraId="2C3F438F" w14:textId="77777777" w:rsidTr="00BF5F29">
        <w:trPr>
          <w:trHeight w:val="1417"/>
        </w:trPr>
        <w:tc>
          <w:tcPr>
            <w:tcW w:w="267" w:type="pct"/>
            <w:tcBorders>
              <w:top w:val="single" w:sz="4" w:space="0" w:color="auto"/>
              <w:left w:val="single" w:sz="4" w:space="0" w:color="auto"/>
              <w:bottom w:val="single" w:sz="4" w:space="0" w:color="auto"/>
              <w:right w:val="single" w:sz="4" w:space="0" w:color="auto"/>
            </w:tcBorders>
            <w:vAlign w:val="center"/>
            <w:hideMark/>
          </w:tcPr>
          <w:p w14:paraId="09AB4654" w14:textId="77777777" w:rsidR="00A30C63" w:rsidRPr="005F2C03" w:rsidRDefault="00A30C63">
            <w:pPr>
              <w:jc w:val="center"/>
              <w:rPr>
                <w:rFonts w:cs="Arial"/>
                <w:noProof/>
                <w:sz w:val="20"/>
              </w:rPr>
            </w:pPr>
            <w:r w:rsidRPr="005F2C03">
              <w:rPr>
                <w:rFonts w:cs="Arial"/>
                <w:noProof/>
                <w:sz w:val="20"/>
              </w:rPr>
              <w:t>15</w:t>
            </w:r>
          </w:p>
        </w:tc>
        <w:tc>
          <w:tcPr>
            <w:tcW w:w="2173" w:type="pct"/>
            <w:tcBorders>
              <w:top w:val="single" w:sz="4" w:space="0" w:color="auto"/>
              <w:left w:val="single" w:sz="4" w:space="0" w:color="auto"/>
              <w:bottom w:val="single" w:sz="4" w:space="0" w:color="auto"/>
              <w:right w:val="single" w:sz="4" w:space="0" w:color="auto"/>
            </w:tcBorders>
            <w:vAlign w:val="center"/>
          </w:tcPr>
          <w:p w14:paraId="0AB5B55F" w14:textId="77777777" w:rsidR="00A30C63" w:rsidRPr="005F2C03" w:rsidRDefault="00A30C63">
            <w:pPr>
              <w:jc w:val="center"/>
              <w:rPr>
                <w:rFonts w:cs="Arial"/>
                <w:noProof/>
                <w:sz w:val="20"/>
              </w:rPr>
            </w:pPr>
          </w:p>
          <w:p w14:paraId="77FBC178" w14:textId="2DB0BA11" w:rsidR="00A30C63" w:rsidRPr="005F2C03" w:rsidRDefault="00A30C63">
            <w:pPr>
              <w:jc w:val="center"/>
              <w:rPr>
                <w:rFonts w:cs="Arial"/>
                <w:noProof/>
                <w:sz w:val="20"/>
              </w:rPr>
            </w:pPr>
            <w:r w:rsidRPr="005F2C03">
              <w:rPr>
                <w:rFonts w:cs="Arial"/>
                <w:noProof/>
                <w:sz w:val="20"/>
              </w:rPr>
              <w:drawing>
                <wp:inline distT="0" distB="0" distL="0" distR="0" wp14:anchorId="203ECE8F" wp14:editId="4C95E64B">
                  <wp:extent cx="1371600" cy="770890"/>
                  <wp:effectExtent l="0" t="0" r="0" b="0"/>
                  <wp:docPr id="1065299324" name="Imagen 3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Logotipo, nombre de la empres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1600" cy="770890"/>
                          </a:xfrm>
                          <a:prstGeom prst="rect">
                            <a:avLst/>
                          </a:prstGeom>
                          <a:noFill/>
                          <a:ln>
                            <a:noFill/>
                          </a:ln>
                        </pic:spPr>
                      </pic:pic>
                    </a:graphicData>
                  </a:graphic>
                </wp:inline>
              </w:drawing>
            </w:r>
          </w:p>
          <w:p w14:paraId="103A0F22" w14:textId="77777777" w:rsidR="00A30C63" w:rsidRPr="005F2C03" w:rsidRDefault="00A30C63">
            <w:pPr>
              <w:jc w:val="center"/>
              <w:rPr>
                <w:rFonts w:cs="Arial"/>
                <w:noProof/>
                <w:sz w:val="20"/>
              </w:rPr>
            </w:pPr>
          </w:p>
          <w:p w14:paraId="1E634C9E" w14:textId="77777777" w:rsidR="00A30C63" w:rsidRPr="005F2C03" w:rsidRDefault="00A30C63">
            <w:pPr>
              <w:jc w:val="center"/>
              <w:rPr>
                <w:rFonts w:cs="Arial"/>
                <w:noProof/>
                <w:sz w:val="20"/>
              </w:rPr>
            </w:pPr>
            <w:r w:rsidRPr="005F2C03">
              <w:rPr>
                <w:rFonts w:cs="Arial"/>
                <w:noProof/>
                <w:sz w:val="20"/>
              </w:rPr>
              <w:t>LA EQUIDAD SEGUROS GENERALES ORGANISMO COOPERATIVO</w:t>
            </w:r>
          </w:p>
          <w:p w14:paraId="627F04E4" w14:textId="77777777" w:rsidR="00A30C63" w:rsidRPr="005F2C03" w:rsidRDefault="00A30C63">
            <w:pPr>
              <w:jc w:val="center"/>
              <w:rPr>
                <w:rFonts w:cs="Arial"/>
                <w:noProof/>
                <w:sz w:val="20"/>
              </w:rPr>
            </w:pPr>
          </w:p>
          <w:p w14:paraId="3DEB8136" w14:textId="77777777" w:rsidR="00A30C63" w:rsidRPr="005F2C03" w:rsidRDefault="00A30C63">
            <w:pPr>
              <w:jc w:val="center"/>
              <w:rPr>
                <w:rFonts w:cs="Arial"/>
                <w:noProof/>
                <w:sz w:val="20"/>
              </w:rPr>
            </w:pPr>
            <w:r w:rsidRPr="005F2C03">
              <w:rPr>
                <w:rFonts w:cs="Arial"/>
                <w:noProof/>
                <w:sz w:val="20"/>
              </w:rPr>
              <w:lastRenderedPageBreak/>
              <w:t>Carrera. 9a No. 99 - 07 Pisos 12</w:t>
            </w:r>
          </w:p>
          <w:p w14:paraId="0EC8BB0E" w14:textId="77777777" w:rsidR="00A30C63" w:rsidRPr="005F2C03" w:rsidRDefault="00A30C63">
            <w:pPr>
              <w:jc w:val="center"/>
              <w:rPr>
                <w:rFonts w:cs="Arial"/>
                <w:noProof/>
                <w:sz w:val="20"/>
              </w:rPr>
            </w:pPr>
            <w:r w:rsidRPr="005F2C03">
              <w:rPr>
                <w:rFonts w:cs="Arial"/>
                <w:noProof/>
                <w:sz w:val="20"/>
              </w:rPr>
              <w:t>Edificio Torre La Equidad Seguros</w:t>
            </w:r>
          </w:p>
          <w:p w14:paraId="45BCB1AC" w14:textId="77777777" w:rsidR="00A30C63" w:rsidRPr="005F2C03" w:rsidRDefault="00A30C63">
            <w:pPr>
              <w:jc w:val="center"/>
              <w:rPr>
                <w:rFonts w:cs="Arial"/>
                <w:noProof/>
                <w:sz w:val="20"/>
              </w:rPr>
            </w:pPr>
            <w:r w:rsidRPr="005F2C03">
              <w:rPr>
                <w:rFonts w:cs="Arial"/>
                <w:noProof/>
                <w:sz w:val="20"/>
              </w:rPr>
              <w:t>Bogotá, D.C., Colombia</w:t>
            </w:r>
          </w:p>
        </w:tc>
        <w:tc>
          <w:tcPr>
            <w:tcW w:w="1524" w:type="pct"/>
            <w:tcBorders>
              <w:top w:val="single" w:sz="4" w:space="0" w:color="auto"/>
              <w:left w:val="single" w:sz="4" w:space="0" w:color="auto"/>
              <w:bottom w:val="single" w:sz="4" w:space="0" w:color="auto"/>
              <w:right w:val="single" w:sz="4" w:space="0" w:color="auto"/>
            </w:tcBorders>
            <w:vAlign w:val="center"/>
            <w:hideMark/>
          </w:tcPr>
          <w:p w14:paraId="72F8E60D"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lastRenderedPageBreak/>
              <w:t xml:space="preserve">Incendio, Terremoto y anexos, Sustracción, Instalaciones y Equipo Electrónico, Rotura de Vidrios, Rotura de Maquinaria, Maquinaria y Equipo Agrícola, Montaje Todo Riesgo, Todo Riesgo Contratista, Transporte de Valores, Transporte Específico de Mercancías, Transporte de Mercancías, Lucro Cesante, </w:t>
            </w:r>
            <w:r w:rsidRPr="005F2C03">
              <w:rPr>
                <w:rFonts w:cs="Arial"/>
                <w:color w:val="000000"/>
                <w:sz w:val="20"/>
                <w:shd w:val="clear" w:color="auto" w:fill="FCFCFC"/>
              </w:rPr>
              <w:lastRenderedPageBreak/>
              <w:t>Familias Seguras, Manejo Comercial, Manejo entidades financieras, Manejo individual, Cumplimiento, Cumplimiento oficial, Póliza Judicial, Responsabilidad Civil Extracontractual, Responsabilidad Civil Directores y Administrativos, Seguro de crédito comercial, Arrendamiento, Responsabilidad Civil Clínicas y Hospitales, Reemplazar por Responsabilidad Civil Profesional clínicas/hospitales e instituciones privadas del sector sanidad, Responsabilidad Civil Extracontractual entidades estatales.</w:t>
            </w:r>
          </w:p>
          <w:p w14:paraId="519E875E"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t>Auto Plus, Pesados, Utilitarios y Taxis, SOAT, Servicio Público, RCE y RCC Transporte Público</w:t>
            </w:r>
          </w:p>
        </w:tc>
        <w:tc>
          <w:tcPr>
            <w:tcW w:w="1036" w:type="pct"/>
            <w:tcBorders>
              <w:top w:val="single" w:sz="4" w:space="0" w:color="auto"/>
              <w:left w:val="single" w:sz="4" w:space="0" w:color="auto"/>
              <w:bottom w:val="single" w:sz="4" w:space="0" w:color="auto"/>
              <w:right w:val="single" w:sz="4" w:space="0" w:color="auto"/>
            </w:tcBorders>
            <w:vAlign w:val="center"/>
          </w:tcPr>
          <w:p w14:paraId="49BC0AB9"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lastRenderedPageBreak/>
              <w:t>Vida Grupo, Vida Individual, Accidentes Personales, Vida+, Accidentes en Viaje, Deuda Protegida.</w:t>
            </w:r>
          </w:p>
          <w:p w14:paraId="4DF4326C" w14:textId="77777777" w:rsidR="00A30C63" w:rsidRPr="005F2C03" w:rsidRDefault="00A30C63">
            <w:pPr>
              <w:jc w:val="center"/>
              <w:rPr>
                <w:rFonts w:cs="Arial"/>
                <w:color w:val="000000"/>
                <w:sz w:val="20"/>
                <w:shd w:val="clear" w:color="auto" w:fill="FCFCFC"/>
              </w:rPr>
            </w:pPr>
          </w:p>
        </w:tc>
      </w:tr>
      <w:tr w:rsidR="00A30C63" w:rsidRPr="005F2C03" w14:paraId="79585501"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120F9520" w14:textId="77777777" w:rsidR="00A30C63" w:rsidRPr="005F2C03" w:rsidRDefault="00A30C63">
            <w:pPr>
              <w:jc w:val="center"/>
              <w:rPr>
                <w:rFonts w:cs="Arial"/>
                <w:noProof/>
                <w:sz w:val="20"/>
              </w:rPr>
            </w:pPr>
            <w:r w:rsidRPr="005F2C03">
              <w:rPr>
                <w:rFonts w:cs="Arial"/>
                <w:noProof/>
                <w:sz w:val="20"/>
              </w:rPr>
              <w:t>16</w:t>
            </w:r>
          </w:p>
        </w:tc>
        <w:tc>
          <w:tcPr>
            <w:tcW w:w="2173" w:type="pct"/>
            <w:tcBorders>
              <w:top w:val="single" w:sz="4" w:space="0" w:color="auto"/>
              <w:left w:val="single" w:sz="4" w:space="0" w:color="auto"/>
              <w:bottom w:val="single" w:sz="4" w:space="0" w:color="auto"/>
              <w:right w:val="single" w:sz="4" w:space="0" w:color="auto"/>
            </w:tcBorders>
            <w:vAlign w:val="center"/>
          </w:tcPr>
          <w:p w14:paraId="7AD8ADBC" w14:textId="77777777" w:rsidR="00A30C63" w:rsidRPr="005F2C03" w:rsidRDefault="00A30C63">
            <w:pPr>
              <w:jc w:val="center"/>
              <w:rPr>
                <w:rFonts w:cs="Arial"/>
                <w:noProof/>
                <w:sz w:val="20"/>
              </w:rPr>
            </w:pPr>
          </w:p>
          <w:p w14:paraId="658DFF94" w14:textId="3C540E8E" w:rsidR="00A30C63" w:rsidRPr="005F2C03" w:rsidRDefault="00A30C63">
            <w:pPr>
              <w:jc w:val="center"/>
              <w:rPr>
                <w:rFonts w:cs="Arial"/>
                <w:noProof/>
                <w:sz w:val="20"/>
              </w:rPr>
            </w:pPr>
            <w:r w:rsidRPr="005F2C03">
              <w:rPr>
                <w:rFonts w:cs="Arial"/>
                <w:noProof/>
                <w:sz w:val="20"/>
              </w:rPr>
              <w:drawing>
                <wp:inline distT="0" distB="0" distL="0" distR="0" wp14:anchorId="2487177F" wp14:editId="09C742A3">
                  <wp:extent cx="1391920" cy="750570"/>
                  <wp:effectExtent l="0" t="0" r="0" b="0"/>
                  <wp:docPr id="150636762" name="Imagen 3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Logotipo, nombre de la empresa&#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1920" cy="750570"/>
                          </a:xfrm>
                          <a:prstGeom prst="rect">
                            <a:avLst/>
                          </a:prstGeom>
                          <a:noFill/>
                          <a:ln>
                            <a:noFill/>
                          </a:ln>
                        </pic:spPr>
                      </pic:pic>
                    </a:graphicData>
                  </a:graphic>
                </wp:inline>
              </w:drawing>
            </w:r>
          </w:p>
          <w:p w14:paraId="1392BB64" w14:textId="77777777" w:rsidR="00A30C63" w:rsidRPr="005F2C03" w:rsidRDefault="00A30C63">
            <w:pPr>
              <w:jc w:val="center"/>
              <w:rPr>
                <w:rFonts w:cs="Arial"/>
                <w:noProof/>
                <w:sz w:val="20"/>
              </w:rPr>
            </w:pPr>
            <w:r w:rsidRPr="005F2C03">
              <w:rPr>
                <w:rFonts w:cs="Arial"/>
                <w:noProof/>
                <w:sz w:val="20"/>
              </w:rPr>
              <w:t>GLOBAL SEGUROS</w:t>
            </w:r>
          </w:p>
          <w:p w14:paraId="7F2BB102" w14:textId="77777777" w:rsidR="00A30C63" w:rsidRPr="005F2C03" w:rsidRDefault="00A30C63">
            <w:pPr>
              <w:jc w:val="center"/>
              <w:rPr>
                <w:rFonts w:cs="Arial"/>
                <w:noProof/>
                <w:sz w:val="20"/>
              </w:rPr>
            </w:pPr>
          </w:p>
          <w:p w14:paraId="4A329715" w14:textId="77777777" w:rsidR="00A30C63" w:rsidRPr="005F2C03" w:rsidRDefault="00A30C63">
            <w:pPr>
              <w:jc w:val="center"/>
              <w:rPr>
                <w:rFonts w:cs="Arial"/>
                <w:noProof/>
                <w:sz w:val="20"/>
              </w:rPr>
            </w:pPr>
            <w:r w:rsidRPr="005F2C03">
              <w:rPr>
                <w:rFonts w:cs="Arial"/>
                <w:noProof/>
                <w:sz w:val="20"/>
              </w:rPr>
              <w:t>Carrera 9 No. 74-62</w:t>
            </w:r>
          </w:p>
          <w:p w14:paraId="11DAD620" w14:textId="77777777" w:rsidR="00A30C63" w:rsidRPr="005F2C03" w:rsidRDefault="00A30C63">
            <w:pPr>
              <w:jc w:val="center"/>
              <w:rPr>
                <w:rFonts w:cs="Arial"/>
                <w:noProof/>
                <w:sz w:val="20"/>
              </w:rPr>
            </w:pPr>
            <w:r w:rsidRPr="005F2C03">
              <w:rPr>
                <w:rFonts w:cs="Arial"/>
                <w:noProof/>
                <w:sz w:val="20"/>
              </w:rPr>
              <w:t>Bogotá D.C., Colombia</w:t>
            </w:r>
          </w:p>
          <w:p w14:paraId="135546C5" w14:textId="77777777" w:rsidR="00A30C63" w:rsidRPr="005F2C03" w:rsidRDefault="00A30C63">
            <w:pPr>
              <w:jc w:val="center"/>
              <w:rPr>
                <w:rFonts w:cs="Arial"/>
                <w:noProof/>
                <w:sz w:val="20"/>
              </w:rPr>
            </w:pPr>
            <w:r w:rsidRPr="005F2C03">
              <w:rPr>
                <w:rFonts w:cs="Arial"/>
                <w:noProof/>
                <w:sz w:val="20"/>
              </w:rPr>
              <w:t>Conmutador: 744 00 84</w:t>
            </w:r>
          </w:p>
          <w:p w14:paraId="4988AF6F" w14:textId="77777777" w:rsidR="00A30C63" w:rsidRPr="005F2C03" w:rsidRDefault="00A30C63">
            <w:pPr>
              <w:jc w:val="center"/>
              <w:rPr>
                <w:rFonts w:cs="Arial"/>
                <w:noProof/>
                <w:sz w:val="20"/>
              </w:rPr>
            </w:pPr>
            <w:r w:rsidRPr="005F2C03">
              <w:rPr>
                <w:rFonts w:cs="Arial"/>
                <w:noProof/>
                <w:sz w:val="20"/>
              </w:rPr>
              <w:t>Fax: 755 31 71</w:t>
            </w:r>
          </w:p>
        </w:tc>
        <w:tc>
          <w:tcPr>
            <w:tcW w:w="1524" w:type="pct"/>
            <w:tcBorders>
              <w:top w:val="single" w:sz="4" w:space="0" w:color="auto"/>
              <w:left w:val="single" w:sz="4" w:space="0" w:color="auto"/>
              <w:bottom w:val="single" w:sz="4" w:space="0" w:color="auto"/>
              <w:right w:val="single" w:sz="4" w:space="0" w:color="auto"/>
            </w:tcBorders>
            <w:vAlign w:val="center"/>
          </w:tcPr>
          <w:p w14:paraId="1BBF1430"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0C762745"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Seguros Educativos, Vida Individual, Vida Grupo, Pensiones Voluntarias, Rentas Vitalicias.</w:t>
            </w:r>
          </w:p>
          <w:p w14:paraId="2BCD2D87" w14:textId="77777777" w:rsidR="00A30C63" w:rsidRPr="005F2C03" w:rsidRDefault="00A30C63">
            <w:pPr>
              <w:jc w:val="center"/>
              <w:rPr>
                <w:rFonts w:cs="Arial"/>
                <w:color w:val="000000"/>
                <w:sz w:val="20"/>
                <w:shd w:val="clear" w:color="auto" w:fill="FCFCFC"/>
              </w:rPr>
            </w:pPr>
          </w:p>
        </w:tc>
      </w:tr>
      <w:tr w:rsidR="00A30C63" w:rsidRPr="005F2C03" w14:paraId="276BB780" w14:textId="77777777" w:rsidTr="00BF5F29">
        <w:trPr>
          <w:trHeight w:val="2121"/>
        </w:trPr>
        <w:tc>
          <w:tcPr>
            <w:tcW w:w="267" w:type="pct"/>
            <w:tcBorders>
              <w:top w:val="single" w:sz="4" w:space="0" w:color="auto"/>
              <w:left w:val="single" w:sz="4" w:space="0" w:color="auto"/>
              <w:bottom w:val="single" w:sz="4" w:space="0" w:color="auto"/>
              <w:right w:val="single" w:sz="4" w:space="0" w:color="auto"/>
            </w:tcBorders>
            <w:vAlign w:val="center"/>
            <w:hideMark/>
          </w:tcPr>
          <w:p w14:paraId="4CC1F3B6" w14:textId="77777777" w:rsidR="00A30C63" w:rsidRPr="005F2C03" w:rsidRDefault="00A30C63">
            <w:pPr>
              <w:jc w:val="center"/>
              <w:rPr>
                <w:rFonts w:cs="Arial"/>
                <w:noProof/>
                <w:sz w:val="20"/>
              </w:rPr>
            </w:pPr>
            <w:r w:rsidRPr="005F2C03">
              <w:rPr>
                <w:rFonts w:cs="Arial"/>
                <w:noProof/>
                <w:sz w:val="20"/>
              </w:rPr>
              <w:t>17</w:t>
            </w:r>
          </w:p>
        </w:tc>
        <w:tc>
          <w:tcPr>
            <w:tcW w:w="2173" w:type="pct"/>
            <w:tcBorders>
              <w:top w:val="single" w:sz="4" w:space="0" w:color="auto"/>
              <w:left w:val="single" w:sz="4" w:space="0" w:color="auto"/>
              <w:bottom w:val="single" w:sz="4" w:space="0" w:color="auto"/>
              <w:right w:val="single" w:sz="4" w:space="0" w:color="auto"/>
            </w:tcBorders>
            <w:vAlign w:val="center"/>
          </w:tcPr>
          <w:p w14:paraId="47AF59C5" w14:textId="77777777" w:rsidR="00A30C63" w:rsidRPr="005F2C03" w:rsidRDefault="00A30C63">
            <w:pPr>
              <w:jc w:val="center"/>
              <w:rPr>
                <w:rFonts w:cs="Arial"/>
                <w:noProof/>
                <w:sz w:val="20"/>
              </w:rPr>
            </w:pPr>
          </w:p>
          <w:p w14:paraId="2D13AD70" w14:textId="67C0DAF7" w:rsidR="00A30C63" w:rsidRPr="005F2C03" w:rsidRDefault="00A30C63">
            <w:pPr>
              <w:jc w:val="center"/>
              <w:rPr>
                <w:rFonts w:cs="Arial"/>
                <w:noProof/>
                <w:sz w:val="20"/>
              </w:rPr>
            </w:pPr>
            <w:r w:rsidRPr="005F2C03">
              <w:rPr>
                <w:rFonts w:cs="Arial"/>
                <w:noProof/>
                <w:sz w:val="20"/>
              </w:rPr>
              <w:drawing>
                <wp:inline distT="0" distB="0" distL="0" distR="0" wp14:anchorId="6D9D2AEA" wp14:editId="6D40BDDE">
                  <wp:extent cx="1515110" cy="866775"/>
                  <wp:effectExtent l="0" t="0" r="8890" b="9525"/>
                  <wp:docPr id="19891691" name="Imagen 3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tipo, nombre de la empresa&#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5110" cy="866775"/>
                          </a:xfrm>
                          <a:prstGeom prst="rect">
                            <a:avLst/>
                          </a:prstGeom>
                          <a:noFill/>
                          <a:ln>
                            <a:noFill/>
                          </a:ln>
                        </pic:spPr>
                      </pic:pic>
                    </a:graphicData>
                  </a:graphic>
                </wp:inline>
              </w:drawing>
            </w:r>
          </w:p>
          <w:p w14:paraId="66F1777A" w14:textId="77777777" w:rsidR="00A30C63" w:rsidRPr="005F2C03" w:rsidRDefault="00A30C63">
            <w:pPr>
              <w:tabs>
                <w:tab w:val="center" w:pos="2136"/>
              </w:tabs>
              <w:jc w:val="center"/>
              <w:rPr>
                <w:rFonts w:cs="Arial"/>
                <w:noProof/>
                <w:sz w:val="20"/>
              </w:rPr>
            </w:pPr>
            <w:r w:rsidRPr="005F2C03">
              <w:rPr>
                <w:rFonts w:cs="Arial"/>
                <w:noProof/>
                <w:sz w:val="20"/>
              </w:rPr>
              <w:t>HDI SEGUROS S.A.</w:t>
            </w:r>
          </w:p>
          <w:p w14:paraId="588182B2" w14:textId="77777777" w:rsidR="00A30C63" w:rsidRPr="005F2C03" w:rsidRDefault="00A30C63">
            <w:pPr>
              <w:tabs>
                <w:tab w:val="center" w:pos="2136"/>
              </w:tabs>
              <w:jc w:val="center"/>
              <w:rPr>
                <w:rFonts w:cs="Arial"/>
                <w:noProof/>
                <w:sz w:val="20"/>
              </w:rPr>
            </w:pPr>
            <w:r w:rsidRPr="005F2C03">
              <w:rPr>
                <w:rFonts w:cs="Arial"/>
                <w:noProof/>
                <w:sz w:val="20"/>
              </w:rPr>
              <w:t>HDI SEGUROS DE VIDA S.A.</w:t>
            </w:r>
          </w:p>
          <w:p w14:paraId="7B7FDEC5" w14:textId="77777777" w:rsidR="00A30C63" w:rsidRPr="005F2C03" w:rsidRDefault="00A30C63">
            <w:pPr>
              <w:tabs>
                <w:tab w:val="center" w:pos="2136"/>
              </w:tabs>
              <w:jc w:val="center"/>
              <w:rPr>
                <w:rFonts w:cs="Arial"/>
                <w:noProof/>
                <w:sz w:val="20"/>
              </w:rPr>
            </w:pPr>
          </w:p>
          <w:p w14:paraId="73923249" w14:textId="77777777" w:rsidR="00A30C63" w:rsidRPr="005F2C03" w:rsidRDefault="00A30C63">
            <w:pPr>
              <w:tabs>
                <w:tab w:val="center" w:pos="2136"/>
              </w:tabs>
              <w:jc w:val="center"/>
              <w:rPr>
                <w:rFonts w:cs="Arial"/>
                <w:noProof/>
                <w:sz w:val="20"/>
              </w:rPr>
            </w:pPr>
            <w:r w:rsidRPr="005F2C03">
              <w:rPr>
                <w:rFonts w:cs="Arial"/>
                <w:noProof/>
                <w:sz w:val="20"/>
              </w:rPr>
              <w:lastRenderedPageBreak/>
              <w:t>Carrera 7a No. 72-13 Edificio HDI</w:t>
            </w:r>
          </w:p>
          <w:p w14:paraId="4AA00B23" w14:textId="77777777" w:rsidR="00A30C63" w:rsidRPr="005F2C03" w:rsidRDefault="00A30C63">
            <w:pPr>
              <w:tabs>
                <w:tab w:val="center" w:pos="2136"/>
              </w:tabs>
              <w:jc w:val="center"/>
              <w:rPr>
                <w:rFonts w:cs="Arial"/>
                <w:noProof/>
                <w:sz w:val="20"/>
              </w:rPr>
            </w:pPr>
            <w:r w:rsidRPr="005F2C03">
              <w:rPr>
                <w:rFonts w:cs="Arial"/>
                <w:noProof/>
                <w:sz w:val="20"/>
              </w:rPr>
              <w:t>Bogotá, D.C., Colombia</w:t>
            </w:r>
          </w:p>
          <w:p w14:paraId="78D817DA" w14:textId="77777777" w:rsidR="00A30C63" w:rsidRPr="005F2C03" w:rsidRDefault="00A30C63">
            <w:pPr>
              <w:tabs>
                <w:tab w:val="center" w:pos="2136"/>
              </w:tabs>
              <w:jc w:val="center"/>
              <w:rPr>
                <w:rFonts w:cs="Arial"/>
                <w:noProof/>
                <w:sz w:val="20"/>
              </w:rPr>
            </w:pPr>
            <w:r w:rsidRPr="005F2C03">
              <w:rPr>
                <w:rFonts w:cs="Arial"/>
                <w:noProof/>
                <w:sz w:val="20"/>
              </w:rPr>
              <w:t>Apartado Postal: 110221</w:t>
            </w:r>
          </w:p>
          <w:p w14:paraId="1517F3BE" w14:textId="77777777" w:rsidR="00A30C63" w:rsidRPr="005F2C03" w:rsidRDefault="00A30C63">
            <w:pPr>
              <w:tabs>
                <w:tab w:val="center" w:pos="2136"/>
              </w:tabs>
              <w:jc w:val="center"/>
              <w:rPr>
                <w:rFonts w:cs="Arial"/>
                <w:noProof/>
                <w:sz w:val="20"/>
              </w:rPr>
            </w:pPr>
          </w:p>
        </w:tc>
        <w:tc>
          <w:tcPr>
            <w:tcW w:w="1524" w:type="pct"/>
            <w:tcBorders>
              <w:top w:val="single" w:sz="4" w:space="0" w:color="auto"/>
              <w:left w:val="single" w:sz="4" w:space="0" w:color="auto"/>
              <w:bottom w:val="single" w:sz="4" w:space="0" w:color="auto"/>
              <w:right w:val="single" w:sz="4" w:space="0" w:color="auto"/>
            </w:tcBorders>
            <w:vAlign w:val="center"/>
            <w:hideMark/>
          </w:tcPr>
          <w:p w14:paraId="52EE8914"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lastRenderedPageBreak/>
              <w:t xml:space="preserve">Agropecuario, Automóviles, Aviación, Cumplimiento, Corriente débil, Incendio, Lucro Cesante, Manejo, Montaje y Rotura de Maquinaria, Minas y Petróleo, Navegación, Responsabilidad Civil, Sustracción, Terremoto, Todo </w:t>
            </w:r>
            <w:r w:rsidRPr="005F2C03">
              <w:rPr>
                <w:rFonts w:cs="Arial"/>
                <w:color w:val="000000"/>
                <w:sz w:val="20"/>
                <w:shd w:val="clear" w:color="auto" w:fill="FCFCFC"/>
              </w:rPr>
              <w:lastRenderedPageBreak/>
              <w:t>Riesgo para Contratistas, Transportes y Vidrios Planos.</w:t>
            </w:r>
          </w:p>
        </w:tc>
        <w:tc>
          <w:tcPr>
            <w:tcW w:w="1036" w:type="pct"/>
            <w:tcBorders>
              <w:top w:val="single" w:sz="4" w:space="0" w:color="auto"/>
              <w:left w:val="single" w:sz="4" w:space="0" w:color="auto"/>
              <w:bottom w:val="single" w:sz="4" w:space="0" w:color="auto"/>
              <w:right w:val="single" w:sz="4" w:space="0" w:color="auto"/>
            </w:tcBorders>
            <w:vAlign w:val="center"/>
          </w:tcPr>
          <w:p w14:paraId="240DA1EE"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lastRenderedPageBreak/>
              <w:t>Accidentes Personales, Salud, Vida Individual y Vida Grupo.</w:t>
            </w:r>
          </w:p>
          <w:p w14:paraId="3A09DCE3" w14:textId="77777777" w:rsidR="00A30C63" w:rsidRPr="005F2C03" w:rsidRDefault="00A30C63">
            <w:pPr>
              <w:jc w:val="center"/>
              <w:rPr>
                <w:rFonts w:cs="Arial"/>
                <w:color w:val="000000"/>
                <w:sz w:val="20"/>
                <w:shd w:val="clear" w:color="auto" w:fill="FCFCFC"/>
              </w:rPr>
            </w:pPr>
          </w:p>
        </w:tc>
      </w:tr>
      <w:tr w:rsidR="00A30C63" w:rsidRPr="005F2C03" w14:paraId="268BB55E"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6A6B6477" w14:textId="77777777" w:rsidR="00A30C63" w:rsidRPr="005F2C03" w:rsidRDefault="00A30C63">
            <w:pPr>
              <w:jc w:val="center"/>
              <w:rPr>
                <w:rFonts w:cs="Arial"/>
                <w:noProof/>
                <w:sz w:val="20"/>
              </w:rPr>
            </w:pPr>
            <w:r w:rsidRPr="005F2C03">
              <w:rPr>
                <w:rFonts w:cs="Arial"/>
                <w:noProof/>
                <w:sz w:val="20"/>
              </w:rPr>
              <w:t>18</w:t>
            </w:r>
          </w:p>
        </w:tc>
        <w:tc>
          <w:tcPr>
            <w:tcW w:w="2173" w:type="pct"/>
            <w:tcBorders>
              <w:top w:val="single" w:sz="4" w:space="0" w:color="auto"/>
              <w:left w:val="single" w:sz="4" w:space="0" w:color="auto"/>
              <w:bottom w:val="single" w:sz="4" w:space="0" w:color="auto"/>
              <w:right w:val="single" w:sz="4" w:space="0" w:color="auto"/>
            </w:tcBorders>
            <w:vAlign w:val="center"/>
          </w:tcPr>
          <w:p w14:paraId="34FA2790" w14:textId="1C50444D" w:rsidR="00A30C63" w:rsidRPr="005F2C03" w:rsidRDefault="00A30C63">
            <w:pPr>
              <w:jc w:val="center"/>
              <w:rPr>
                <w:rFonts w:cs="Arial"/>
                <w:noProof/>
                <w:sz w:val="20"/>
              </w:rPr>
            </w:pPr>
            <w:r w:rsidRPr="005F2C03">
              <w:rPr>
                <w:rFonts w:cs="Arial"/>
                <w:noProof/>
                <w:sz w:val="20"/>
              </w:rPr>
              <w:drawing>
                <wp:inline distT="0" distB="0" distL="0" distR="0" wp14:anchorId="418453A9" wp14:editId="73764C0B">
                  <wp:extent cx="1487805" cy="450215"/>
                  <wp:effectExtent l="0" t="0" r="0" b="6985"/>
                  <wp:docPr id="561001265" name="Imagen 3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agen que contiene Texto&#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t="21092" b="20592"/>
                          <a:stretch>
                            <a:fillRect/>
                          </a:stretch>
                        </pic:blipFill>
                        <pic:spPr bwMode="auto">
                          <a:xfrm>
                            <a:off x="0" y="0"/>
                            <a:ext cx="1487805" cy="450215"/>
                          </a:xfrm>
                          <a:prstGeom prst="rect">
                            <a:avLst/>
                          </a:prstGeom>
                          <a:noFill/>
                          <a:ln>
                            <a:noFill/>
                          </a:ln>
                        </pic:spPr>
                      </pic:pic>
                    </a:graphicData>
                  </a:graphic>
                </wp:inline>
              </w:drawing>
            </w:r>
          </w:p>
          <w:p w14:paraId="7BCC7C3A" w14:textId="77777777" w:rsidR="00A30C63" w:rsidRPr="005F2C03" w:rsidRDefault="00A30C63">
            <w:pPr>
              <w:jc w:val="center"/>
              <w:rPr>
                <w:rFonts w:cs="Arial"/>
                <w:noProof/>
                <w:sz w:val="20"/>
              </w:rPr>
            </w:pPr>
            <w:r w:rsidRPr="005F2C03">
              <w:rPr>
                <w:rFonts w:cs="Arial"/>
                <w:noProof/>
                <w:sz w:val="20"/>
              </w:rPr>
              <w:t>JMALUCELLI TRAVELERS SEGUROS S.A.</w:t>
            </w:r>
          </w:p>
          <w:p w14:paraId="6EC6B0C2" w14:textId="77777777" w:rsidR="00A30C63" w:rsidRPr="005F2C03" w:rsidRDefault="00A30C63">
            <w:pPr>
              <w:jc w:val="center"/>
              <w:rPr>
                <w:rFonts w:cs="Arial"/>
                <w:noProof/>
                <w:sz w:val="20"/>
              </w:rPr>
            </w:pPr>
          </w:p>
          <w:p w14:paraId="5777EDB3" w14:textId="77777777" w:rsidR="00A30C63" w:rsidRPr="005F2C03" w:rsidRDefault="00A30C63">
            <w:pPr>
              <w:jc w:val="center"/>
              <w:rPr>
                <w:rFonts w:cs="Arial"/>
                <w:noProof/>
                <w:sz w:val="20"/>
              </w:rPr>
            </w:pPr>
            <w:r w:rsidRPr="005F2C03">
              <w:rPr>
                <w:rFonts w:cs="Arial"/>
                <w:noProof/>
                <w:sz w:val="20"/>
              </w:rPr>
              <w:t>Calle 98 No. 21-50 Oficina 901</w:t>
            </w:r>
          </w:p>
          <w:p w14:paraId="2EE6C32C" w14:textId="77777777" w:rsidR="00A30C63" w:rsidRPr="005F2C03" w:rsidRDefault="00A30C63">
            <w:pPr>
              <w:jc w:val="center"/>
              <w:rPr>
                <w:rFonts w:cs="Arial"/>
                <w:noProof/>
                <w:sz w:val="20"/>
              </w:rPr>
            </w:pPr>
            <w:r w:rsidRPr="005F2C03">
              <w:rPr>
                <w:rFonts w:cs="Arial"/>
                <w:noProof/>
                <w:sz w:val="20"/>
              </w:rPr>
              <w:t>Bogota D.C. Colombia</w:t>
            </w:r>
          </w:p>
          <w:p w14:paraId="65DA2BF9" w14:textId="77777777" w:rsidR="00A30C63" w:rsidRPr="005F2C03" w:rsidRDefault="00A30C63">
            <w:pPr>
              <w:jc w:val="center"/>
              <w:rPr>
                <w:rFonts w:cs="Arial"/>
                <w:noProof/>
                <w:sz w:val="20"/>
              </w:rPr>
            </w:pPr>
            <w:r w:rsidRPr="005F2C03">
              <w:rPr>
                <w:rFonts w:cs="Arial"/>
                <w:noProof/>
                <w:sz w:val="20"/>
              </w:rPr>
              <w:t>Conmutador: (601) 7945774</w:t>
            </w:r>
          </w:p>
          <w:p w14:paraId="7DD5EA1C" w14:textId="77777777" w:rsidR="00A30C63" w:rsidRPr="005F2C03" w:rsidRDefault="00A30C63">
            <w:pPr>
              <w:jc w:val="center"/>
              <w:rPr>
                <w:rFonts w:cs="Arial"/>
                <w:noProof/>
                <w:sz w:val="20"/>
              </w:rPr>
            </w:pPr>
            <w:r w:rsidRPr="005F2C03">
              <w:rPr>
                <w:rFonts w:cs="Arial"/>
                <w:noProof/>
                <w:sz w:val="20"/>
              </w:rPr>
              <w:t>NIT: 900.488.151-9</w:t>
            </w:r>
          </w:p>
        </w:tc>
        <w:tc>
          <w:tcPr>
            <w:tcW w:w="1524" w:type="pct"/>
            <w:tcBorders>
              <w:top w:val="single" w:sz="4" w:space="0" w:color="auto"/>
              <w:left w:val="single" w:sz="4" w:space="0" w:color="auto"/>
              <w:bottom w:val="single" w:sz="4" w:space="0" w:color="auto"/>
              <w:right w:val="single" w:sz="4" w:space="0" w:color="auto"/>
            </w:tcBorders>
            <w:vAlign w:val="center"/>
          </w:tcPr>
          <w:p w14:paraId="128341A4"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Cumplimiento, Responsabilidad Civil</w:t>
            </w:r>
          </w:p>
          <w:p w14:paraId="5079E1A8"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6ED2C2E5" w14:textId="77777777" w:rsidR="00A30C63" w:rsidRPr="005F2C03" w:rsidRDefault="00A30C63">
            <w:pPr>
              <w:jc w:val="center"/>
              <w:rPr>
                <w:rFonts w:cs="Arial"/>
                <w:color w:val="000000"/>
                <w:sz w:val="20"/>
                <w:shd w:val="clear" w:color="auto" w:fill="FCFCFC"/>
              </w:rPr>
            </w:pPr>
          </w:p>
        </w:tc>
      </w:tr>
      <w:tr w:rsidR="00A30C63" w:rsidRPr="005F2C03" w14:paraId="758A215E" w14:textId="77777777" w:rsidTr="00BF5F29">
        <w:trPr>
          <w:trHeight w:val="2633"/>
        </w:trPr>
        <w:tc>
          <w:tcPr>
            <w:tcW w:w="267" w:type="pct"/>
            <w:tcBorders>
              <w:top w:val="single" w:sz="4" w:space="0" w:color="auto"/>
              <w:left w:val="single" w:sz="4" w:space="0" w:color="auto"/>
              <w:bottom w:val="single" w:sz="4" w:space="0" w:color="auto"/>
              <w:right w:val="single" w:sz="4" w:space="0" w:color="auto"/>
            </w:tcBorders>
            <w:vAlign w:val="center"/>
            <w:hideMark/>
          </w:tcPr>
          <w:p w14:paraId="58B99975" w14:textId="77777777" w:rsidR="00A30C63" w:rsidRPr="005F2C03" w:rsidRDefault="00A30C63">
            <w:pPr>
              <w:jc w:val="center"/>
              <w:rPr>
                <w:rFonts w:cs="Arial"/>
                <w:noProof/>
                <w:sz w:val="20"/>
              </w:rPr>
            </w:pPr>
            <w:r w:rsidRPr="005F2C03">
              <w:rPr>
                <w:rFonts w:cs="Arial"/>
                <w:noProof/>
                <w:sz w:val="20"/>
              </w:rPr>
              <w:t>19</w:t>
            </w:r>
          </w:p>
        </w:tc>
        <w:tc>
          <w:tcPr>
            <w:tcW w:w="2173" w:type="pct"/>
            <w:tcBorders>
              <w:top w:val="single" w:sz="4" w:space="0" w:color="auto"/>
              <w:left w:val="single" w:sz="4" w:space="0" w:color="auto"/>
              <w:bottom w:val="single" w:sz="4" w:space="0" w:color="auto"/>
              <w:right w:val="single" w:sz="4" w:space="0" w:color="auto"/>
            </w:tcBorders>
            <w:vAlign w:val="center"/>
          </w:tcPr>
          <w:p w14:paraId="63411430" w14:textId="42A18850" w:rsidR="00A30C63" w:rsidRPr="005F2C03" w:rsidRDefault="00A30C63">
            <w:pPr>
              <w:jc w:val="center"/>
              <w:rPr>
                <w:rFonts w:cs="Arial"/>
                <w:noProof/>
                <w:sz w:val="20"/>
              </w:rPr>
            </w:pPr>
            <w:r w:rsidRPr="005F2C03">
              <w:rPr>
                <w:rFonts w:cs="Arial"/>
                <w:noProof/>
                <w:sz w:val="20"/>
              </w:rPr>
              <w:drawing>
                <wp:inline distT="0" distB="0" distL="0" distR="0" wp14:anchorId="0C8A4F97" wp14:editId="6E4405DB">
                  <wp:extent cx="1371600" cy="546100"/>
                  <wp:effectExtent l="0" t="0" r="0" b="6350"/>
                  <wp:docPr id="1810448815" name="Imagen 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tipo, nombre de la empres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t="14528" b="16457"/>
                          <a:stretch>
                            <a:fillRect/>
                          </a:stretch>
                        </pic:blipFill>
                        <pic:spPr bwMode="auto">
                          <a:xfrm>
                            <a:off x="0" y="0"/>
                            <a:ext cx="1371600" cy="546100"/>
                          </a:xfrm>
                          <a:prstGeom prst="rect">
                            <a:avLst/>
                          </a:prstGeom>
                          <a:noFill/>
                          <a:ln>
                            <a:noFill/>
                          </a:ln>
                        </pic:spPr>
                      </pic:pic>
                    </a:graphicData>
                  </a:graphic>
                </wp:inline>
              </w:drawing>
            </w:r>
          </w:p>
          <w:p w14:paraId="52B06AD9" w14:textId="77777777" w:rsidR="00A30C63" w:rsidRPr="005F2C03" w:rsidRDefault="00A30C63">
            <w:pPr>
              <w:jc w:val="center"/>
              <w:rPr>
                <w:rFonts w:cs="Arial"/>
                <w:noProof/>
                <w:sz w:val="20"/>
              </w:rPr>
            </w:pPr>
            <w:r w:rsidRPr="005F2C03">
              <w:rPr>
                <w:rFonts w:cs="Arial"/>
                <w:noProof/>
                <w:sz w:val="20"/>
              </w:rPr>
              <w:t>LIBERTY SEGUROS S.A.</w:t>
            </w:r>
          </w:p>
          <w:p w14:paraId="54FFF8DF" w14:textId="77777777" w:rsidR="00A30C63" w:rsidRPr="005F2C03" w:rsidRDefault="00A30C63">
            <w:pPr>
              <w:jc w:val="center"/>
              <w:rPr>
                <w:rFonts w:cs="Arial"/>
                <w:noProof/>
                <w:sz w:val="20"/>
              </w:rPr>
            </w:pPr>
          </w:p>
          <w:p w14:paraId="7AFB6E61" w14:textId="77777777" w:rsidR="00A30C63" w:rsidRPr="005F2C03" w:rsidRDefault="00A30C63">
            <w:pPr>
              <w:jc w:val="center"/>
              <w:rPr>
                <w:rFonts w:cs="Arial"/>
                <w:noProof/>
                <w:sz w:val="20"/>
              </w:rPr>
            </w:pPr>
            <w:r w:rsidRPr="005F2C03">
              <w:rPr>
                <w:rFonts w:cs="Arial"/>
                <w:noProof/>
                <w:sz w:val="20"/>
              </w:rPr>
              <w:t>Calle 72 No. 10-07 Pisos 7</w:t>
            </w:r>
          </w:p>
          <w:p w14:paraId="1AC68A9C" w14:textId="77777777" w:rsidR="00A30C63" w:rsidRPr="005F2C03" w:rsidRDefault="00A30C63">
            <w:pPr>
              <w:jc w:val="center"/>
              <w:rPr>
                <w:rFonts w:cs="Arial"/>
                <w:noProof/>
                <w:sz w:val="20"/>
              </w:rPr>
            </w:pPr>
            <w:r w:rsidRPr="005F2C03">
              <w:rPr>
                <w:rFonts w:cs="Arial"/>
                <w:noProof/>
                <w:sz w:val="20"/>
              </w:rPr>
              <w:t>Bogotá, D.C., Colombia</w:t>
            </w:r>
          </w:p>
          <w:p w14:paraId="4DC03074" w14:textId="77777777" w:rsidR="00A30C63" w:rsidRPr="005F2C03" w:rsidRDefault="00A30C63">
            <w:pPr>
              <w:jc w:val="center"/>
              <w:rPr>
                <w:rFonts w:cs="Arial"/>
                <w:noProof/>
                <w:sz w:val="20"/>
              </w:rPr>
            </w:pPr>
            <w:r w:rsidRPr="005F2C03">
              <w:rPr>
                <w:rFonts w:cs="Arial"/>
                <w:noProof/>
                <w:sz w:val="20"/>
              </w:rPr>
              <w:t>Apartado Postal: 57227 y 57243</w:t>
            </w:r>
          </w:p>
          <w:p w14:paraId="610FAB4E" w14:textId="77777777" w:rsidR="00A30C63" w:rsidRPr="005F2C03" w:rsidRDefault="00A30C63">
            <w:pPr>
              <w:jc w:val="center"/>
              <w:rPr>
                <w:rFonts w:cs="Arial"/>
                <w:noProof/>
                <w:sz w:val="20"/>
              </w:rPr>
            </w:pPr>
            <w:r w:rsidRPr="005F2C03">
              <w:rPr>
                <w:rFonts w:cs="Arial"/>
                <w:noProof/>
                <w:sz w:val="20"/>
              </w:rPr>
              <w:t>Fax: 212 77 06 - 210 36 91</w:t>
            </w:r>
          </w:p>
          <w:p w14:paraId="312BAF05" w14:textId="77777777" w:rsidR="00A30C63" w:rsidRPr="005F2C03" w:rsidRDefault="00A30C63">
            <w:pPr>
              <w:jc w:val="center"/>
              <w:rPr>
                <w:rFonts w:cs="Arial"/>
                <w:noProof/>
                <w:sz w:val="20"/>
              </w:rPr>
            </w:pPr>
            <w:r w:rsidRPr="005F2C03">
              <w:rPr>
                <w:rFonts w:cs="Arial"/>
                <w:noProof/>
                <w:sz w:val="20"/>
              </w:rPr>
              <w:t>Conmutador: 310 33 00</w:t>
            </w:r>
          </w:p>
        </w:tc>
        <w:tc>
          <w:tcPr>
            <w:tcW w:w="1524" w:type="pct"/>
            <w:tcBorders>
              <w:top w:val="single" w:sz="4" w:space="0" w:color="auto"/>
              <w:left w:val="single" w:sz="4" w:space="0" w:color="auto"/>
              <w:bottom w:val="single" w:sz="4" w:space="0" w:color="auto"/>
              <w:right w:val="single" w:sz="4" w:space="0" w:color="auto"/>
            </w:tcBorders>
            <w:vAlign w:val="center"/>
            <w:hideMark/>
          </w:tcPr>
          <w:p w14:paraId="73E62AEE"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t>Automóviles, Corriente Débil, Cumplimiento, Incendio, Lucro Cesante, Manejo, Montaje y Rotura de Maquinaria, Multirriesgo Familiar, Multirriesgo Industrial, Navegación, Responsabilidad Civil, Riesgos de Minas y Petróleos, Sustracción, Terremoto, Todo Riesgo para Contratistas, Transportes, Vidrios, Agropecuario, Desempleo, Crédito Comercial con Restricciones de acuerdo con la Resolución 24 de 1990 de la Junta Monetaria.</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009DDAD"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Seguro Obligatorio de Accidentes de Tránsito, Accidentes Personales, Colectivo Vida, Exequias, Salud, Vida Grupo, Enfermedades de Alto Costo</w:t>
            </w:r>
          </w:p>
        </w:tc>
      </w:tr>
      <w:tr w:rsidR="00A30C63" w:rsidRPr="005F2C03" w14:paraId="684BE636"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4F2F0616" w14:textId="77777777" w:rsidR="00A30C63" w:rsidRPr="005F2C03" w:rsidRDefault="00A30C63">
            <w:pPr>
              <w:jc w:val="center"/>
              <w:rPr>
                <w:rFonts w:cs="Arial"/>
                <w:noProof/>
                <w:sz w:val="20"/>
              </w:rPr>
            </w:pPr>
            <w:r w:rsidRPr="005F2C03">
              <w:rPr>
                <w:rFonts w:cs="Arial"/>
                <w:noProof/>
                <w:sz w:val="20"/>
              </w:rPr>
              <w:t>20</w:t>
            </w:r>
          </w:p>
        </w:tc>
        <w:tc>
          <w:tcPr>
            <w:tcW w:w="2173" w:type="pct"/>
            <w:tcBorders>
              <w:top w:val="single" w:sz="4" w:space="0" w:color="auto"/>
              <w:left w:val="single" w:sz="4" w:space="0" w:color="auto"/>
              <w:bottom w:val="single" w:sz="4" w:space="0" w:color="auto"/>
              <w:right w:val="single" w:sz="4" w:space="0" w:color="auto"/>
            </w:tcBorders>
            <w:vAlign w:val="center"/>
          </w:tcPr>
          <w:p w14:paraId="5A096C68" w14:textId="01656D7D" w:rsidR="00A30C63" w:rsidRPr="005F2C03" w:rsidRDefault="00A30C63">
            <w:pPr>
              <w:jc w:val="center"/>
              <w:rPr>
                <w:rFonts w:cs="Arial"/>
                <w:noProof/>
                <w:sz w:val="20"/>
              </w:rPr>
            </w:pPr>
            <w:r w:rsidRPr="005F2C03">
              <w:rPr>
                <w:rFonts w:cs="Arial"/>
                <w:noProof/>
                <w:sz w:val="20"/>
              </w:rPr>
              <w:drawing>
                <wp:inline distT="0" distB="0" distL="0" distR="0" wp14:anchorId="311C1B7D" wp14:editId="56046361">
                  <wp:extent cx="1269365" cy="307340"/>
                  <wp:effectExtent l="0" t="0" r="6985" b="0"/>
                  <wp:docPr id="1382154766" name="Imagen 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otipo&#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t="29716" b="28926"/>
                          <a:stretch>
                            <a:fillRect/>
                          </a:stretch>
                        </pic:blipFill>
                        <pic:spPr bwMode="auto">
                          <a:xfrm>
                            <a:off x="0" y="0"/>
                            <a:ext cx="1269365" cy="307340"/>
                          </a:xfrm>
                          <a:prstGeom prst="rect">
                            <a:avLst/>
                          </a:prstGeom>
                          <a:noFill/>
                          <a:ln>
                            <a:noFill/>
                          </a:ln>
                        </pic:spPr>
                      </pic:pic>
                    </a:graphicData>
                  </a:graphic>
                </wp:inline>
              </w:drawing>
            </w:r>
          </w:p>
          <w:p w14:paraId="3690B9A2" w14:textId="77777777" w:rsidR="00A30C63" w:rsidRPr="005F2C03" w:rsidRDefault="00A30C63">
            <w:pPr>
              <w:jc w:val="center"/>
              <w:rPr>
                <w:rFonts w:cs="Arial"/>
                <w:noProof/>
                <w:sz w:val="20"/>
              </w:rPr>
            </w:pPr>
            <w:r w:rsidRPr="005F2C03">
              <w:rPr>
                <w:rFonts w:cs="Arial"/>
                <w:noProof/>
                <w:sz w:val="20"/>
              </w:rPr>
              <w:t>MAPFRE SEGUROS GENERALES DE COLOMBIA S.A.</w:t>
            </w:r>
          </w:p>
          <w:p w14:paraId="692E4C3F" w14:textId="77777777" w:rsidR="00A30C63" w:rsidRPr="005F2C03" w:rsidRDefault="00A30C63">
            <w:pPr>
              <w:jc w:val="center"/>
              <w:rPr>
                <w:rFonts w:cs="Arial"/>
                <w:noProof/>
                <w:sz w:val="20"/>
              </w:rPr>
            </w:pPr>
            <w:r w:rsidRPr="005F2C03">
              <w:rPr>
                <w:rFonts w:cs="Arial"/>
                <w:noProof/>
                <w:sz w:val="20"/>
              </w:rPr>
              <w:t>MAPFRE COLOMBIA VIDA SEGUROS S.A.</w:t>
            </w:r>
          </w:p>
          <w:p w14:paraId="30300945" w14:textId="77777777" w:rsidR="00A30C63" w:rsidRPr="005F2C03" w:rsidRDefault="00A30C63">
            <w:pPr>
              <w:jc w:val="center"/>
              <w:rPr>
                <w:rFonts w:cs="Arial"/>
                <w:noProof/>
                <w:sz w:val="20"/>
              </w:rPr>
            </w:pPr>
          </w:p>
          <w:p w14:paraId="3DE063A0" w14:textId="77777777" w:rsidR="00A30C63" w:rsidRPr="005F2C03" w:rsidRDefault="00A30C63">
            <w:pPr>
              <w:jc w:val="center"/>
              <w:rPr>
                <w:rFonts w:cs="Arial"/>
                <w:noProof/>
                <w:sz w:val="20"/>
              </w:rPr>
            </w:pPr>
            <w:r w:rsidRPr="005F2C03">
              <w:rPr>
                <w:rFonts w:cs="Arial"/>
                <w:noProof/>
                <w:sz w:val="20"/>
              </w:rPr>
              <w:t>Bogotá, D.C., Colombia</w:t>
            </w:r>
          </w:p>
          <w:p w14:paraId="645AB682" w14:textId="77777777" w:rsidR="00A30C63" w:rsidRPr="005F2C03" w:rsidRDefault="00A30C63">
            <w:pPr>
              <w:jc w:val="center"/>
              <w:rPr>
                <w:rFonts w:cs="Arial"/>
                <w:noProof/>
                <w:sz w:val="20"/>
              </w:rPr>
            </w:pPr>
            <w:r w:rsidRPr="005F2C03">
              <w:rPr>
                <w:rFonts w:cs="Arial"/>
                <w:noProof/>
                <w:sz w:val="20"/>
              </w:rPr>
              <w:t>Apartado Postal: 28525</w:t>
            </w:r>
          </w:p>
          <w:p w14:paraId="07187AB6" w14:textId="77777777" w:rsidR="00A30C63" w:rsidRPr="005F2C03" w:rsidRDefault="00A30C63">
            <w:pPr>
              <w:jc w:val="center"/>
              <w:rPr>
                <w:rFonts w:cs="Arial"/>
                <w:noProof/>
                <w:sz w:val="20"/>
              </w:rPr>
            </w:pPr>
            <w:r w:rsidRPr="005F2C03">
              <w:rPr>
                <w:rFonts w:cs="Arial"/>
                <w:noProof/>
                <w:sz w:val="20"/>
              </w:rPr>
              <w:lastRenderedPageBreak/>
              <w:t>Fax: 650 34 00</w:t>
            </w:r>
          </w:p>
          <w:p w14:paraId="512857A8" w14:textId="77777777" w:rsidR="00A30C63" w:rsidRPr="005F2C03" w:rsidRDefault="00A30C63">
            <w:pPr>
              <w:jc w:val="center"/>
              <w:rPr>
                <w:rFonts w:cs="Arial"/>
                <w:noProof/>
                <w:sz w:val="20"/>
              </w:rPr>
            </w:pPr>
            <w:r w:rsidRPr="005F2C03">
              <w:rPr>
                <w:rFonts w:cs="Arial"/>
                <w:noProof/>
                <w:sz w:val="20"/>
              </w:rPr>
              <w:t>NIT.: 891.700.037-9</w:t>
            </w:r>
          </w:p>
        </w:tc>
        <w:tc>
          <w:tcPr>
            <w:tcW w:w="1524" w:type="pct"/>
            <w:tcBorders>
              <w:top w:val="single" w:sz="4" w:space="0" w:color="auto"/>
              <w:left w:val="single" w:sz="4" w:space="0" w:color="auto"/>
              <w:bottom w:val="single" w:sz="4" w:space="0" w:color="auto"/>
              <w:right w:val="single" w:sz="4" w:space="0" w:color="auto"/>
            </w:tcBorders>
            <w:vAlign w:val="center"/>
            <w:hideMark/>
          </w:tcPr>
          <w:p w14:paraId="13B7A312"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lastRenderedPageBreak/>
              <w:t xml:space="preserve">Automóviles, Aviación, Corriente Débil, Cumplimiento, Incendio, Lucro Cesante, Manejo, Montaje y Rotura de Maquinaria, Navegación, Responsabilidad Civil, Minas y Petróleos, Semovientes, Sustracción, Terremoto, Todo Riesgo para </w:t>
            </w:r>
            <w:r w:rsidRPr="005F2C03">
              <w:rPr>
                <w:rFonts w:cs="Arial"/>
                <w:color w:val="000000"/>
                <w:sz w:val="20"/>
                <w:shd w:val="clear" w:color="auto" w:fill="FCFCFC"/>
              </w:rPr>
              <w:lastRenderedPageBreak/>
              <w:t>Contratistas, Transportes, Vidrios, Accidentes Personales, Colectivo Vida, Exequias, Educativo, Agrícola, Desempleo.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6F7B79E"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lastRenderedPageBreak/>
              <w:t xml:space="preserve">Vida Individual, Vida Grupo, Accidentes Personales, Salud, Exequias, Educativo, Pensiones y Ley 100, Seguro Previsional de Invalidez y Sobrevivencia, </w:t>
            </w:r>
            <w:r w:rsidRPr="005F2C03">
              <w:rPr>
                <w:rFonts w:cs="Arial"/>
                <w:color w:val="000000"/>
                <w:sz w:val="20"/>
                <w:shd w:val="clear" w:color="auto" w:fill="FCFCFC"/>
              </w:rPr>
              <w:lastRenderedPageBreak/>
              <w:t>Pensiones con Conmutación Pensional, Riesgos Profesionales, Salud, Vida Grupo, Grupo,</w:t>
            </w:r>
          </w:p>
        </w:tc>
      </w:tr>
      <w:tr w:rsidR="00A30C63" w:rsidRPr="005F2C03" w14:paraId="155BF0E4"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42CBA033" w14:textId="77777777" w:rsidR="00A30C63" w:rsidRPr="005F2C03" w:rsidRDefault="00A30C63">
            <w:pPr>
              <w:jc w:val="center"/>
              <w:rPr>
                <w:rFonts w:cs="Arial"/>
                <w:noProof/>
                <w:sz w:val="20"/>
              </w:rPr>
            </w:pPr>
            <w:r w:rsidRPr="005F2C03">
              <w:rPr>
                <w:rFonts w:cs="Arial"/>
                <w:noProof/>
                <w:sz w:val="20"/>
              </w:rPr>
              <w:lastRenderedPageBreak/>
              <w:t>21</w:t>
            </w:r>
          </w:p>
        </w:tc>
        <w:tc>
          <w:tcPr>
            <w:tcW w:w="2173" w:type="pct"/>
            <w:tcBorders>
              <w:top w:val="single" w:sz="4" w:space="0" w:color="auto"/>
              <w:left w:val="single" w:sz="4" w:space="0" w:color="auto"/>
              <w:bottom w:val="single" w:sz="4" w:space="0" w:color="auto"/>
              <w:right w:val="single" w:sz="4" w:space="0" w:color="auto"/>
            </w:tcBorders>
            <w:vAlign w:val="center"/>
          </w:tcPr>
          <w:p w14:paraId="18CDA4AA" w14:textId="1829E3B7" w:rsidR="00A30C63" w:rsidRPr="005F2C03" w:rsidRDefault="00A30C63">
            <w:pPr>
              <w:jc w:val="center"/>
              <w:rPr>
                <w:rFonts w:cs="Arial"/>
                <w:noProof/>
                <w:sz w:val="20"/>
              </w:rPr>
            </w:pPr>
            <w:r w:rsidRPr="005F2C03">
              <w:rPr>
                <w:rFonts w:cs="Arial"/>
                <w:noProof/>
                <w:sz w:val="20"/>
              </w:rPr>
              <w:drawing>
                <wp:inline distT="0" distB="0" distL="0" distR="0" wp14:anchorId="1E5756C4" wp14:editId="659820A9">
                  <wp:extent cx="1276350" cy="361950"/>
                  <wp:effectExtent l="0" t="0" r="0" b="0"/>
                  <wp:docPr id="1603756555" name="Imagen 2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Logotip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t="26649" b="25116"/>
                          <a:stretch>
                            <a:fillRect/>
                          </a:stretch>
                        </pic:blipFill>
                        <pic:spPr bwMode="auto">
                          <a:xfrm>
                            <a:off x="0" y="0"/>
                            <a:ext cx="1276350" cy="361950"/>
                          </a:xfrm>
                          <a:prstGeom prst="rect">
                            <a:avLst/>
                          </a:prstGeom>
                          <a:noFill/>
                          <a:ln>
                            <a:noFill/>
                          </a:ln>
                        </pic:spPr>
                      </pic:pic>
                    </a:graphicData>
                  </a:graphic>
                </wp:inline>
              </w:drawing>
            </w:r>
          </w:p>
          <w:p w14:paraId="2432C2F5" w14:textId="77777777" w:rsidR="00A30C63" w:rsidRPr="005F2C03" w:rsidRDefault="00A30C63">
            <w:pPr>
              <w:jc w:val="center"/>
              <w:rPr>
                <w:rFonts w:cs="Arial"/>
                <w:noProof/>
                <w:sz w:val="20"/>
              </w:rPr>
            </w:pPr>
            <w:r w:rsidRPr="005F2C03">
              <w:rPr>
                <w:rFonts w:cs="Arial"/>
                <w:noProof/>
                <w:sz w:val="20"/>
              </w:rPr>
              <w:t>METLIFE COLOMBIA SEGUROS DE VIDA S.A.</w:t>
            </w:r>
          </w:p>
          <w:p w14:paraId="4A6E097E" w14:textId="77777777" w:rsidR="00A30C63" w:rsidRPr="005F2C03" w:rsidRDefault="00A30C63">
            <w:pPr>
              <w:jc w:val="center"/>
              <w:rPr>
                <w:rFonts w:cs="Arial"/>
                <w:noProof/>
                <w:sz w:val="20"/>
              </w:rPr>
            </w:pPr>
          </w:p>
          <w:p w14:paraId="7A6F1477" w14:textId="77777777" w:rsidR="00A30C63" w:rsidRPr="005F2C03" w:rsidRDefault="00A30C63">
            <w:pPr>
              <w:jc w:val="center"/>
              <w:rPr>
                <w:rFonts w:cs="Arial"/>
                <w:noProof/>
                <w:sz w:val="20"/>
              </w:rPr>
            </w:pPr>
            <w:r w:rsidRPr="005F2C03">
              <w:rPr>
                <w:rFonts w:cs="Arial"/>
                <w:noProof/>
                <w:sz w:val="20"/>
              </w:rPr>
              <w:t>Carrera. 7 No. 99 - 53 Piso 17</w:t>
            </w:r>
          </w:p>
          <w:p w14:paraId="12711670" w14:textId="77777777" w:rsidR="00A30C63" w:rsidRPr="005F2C03" w:rsidRDefault="00A30C63">
            <w:pPr>
              <w:jc w:val="center"/>
              <w:rPr>
                <w:rFonts w:cs="Arial"/>
                <w:noProof/>
                <w:sz w:val="20"/>
              </w:rPr>
            </w:pPr>
            <w:r w:rsidRPr="005F2C03">
              <w:rPr>
                <w:rFonts w:cs="Arial"/>
                <w:noProof/>
                <w:sz w:val="20"/>
              </w:rPr>
              <w:t>Bogotá, D.C., Colombia</w:t>
            </w:r>
          </w:p>
          <w:p w14:paraId="17768E3F" w14:textId="77777777" w:rsidR="00A30C63" w:rsidRPr="005F2C03" w:rsidRDefault="00A30C63">
            <w:pPr>
              <w:jc w:val="center"/>
              <w:rPr>
                <w:rFonts w:cs="Arial"/>
                <w:noProof/>
                <w:sz w:val="20"/>
              </w:rPr>
            </w:pPr>
            <w:r w:rsidRPr="005F2C03">
              <w:rPr>
                <w:rFonts w:cs="Arial"/>
                <w:noProof/>
                <w:sz w:val="20"/>
              </w:rPr>
              <w:t>Apartado Postal: 057159</w:t>
            </w:r>
          </w:p>
          <w:p w14:paraId="3A3BCC45" w14:textId="77777777" w:rsidR="00A30C63" w:rsidRPr="005F2C03" w:rsidRDefault="00A30C63">
            <w:pPr>
              <w:jc w:val="center"/>
              <w:rPr>
                <w:rFonts w:cs="Arial"/>
                <w:noProof/>
                <w:sz w:val="20"/>
              </w:rPr>
            </w:pPr>
            <w:r w:rsidRPr="005F2C03">
              <w:rPr>
                <w:rFonts w:cs="Arial"/>
                <w:noProof/>
                <w:sz w:val="20"/>
              </w:rPr>
              <w:t>Conmutador: 7565067</w:t>
            </w:r>
          </w:p>
          <w:p w14:paraId="2318548D" w14:textId="77777777" w:rsidR="00A30C63" w:rsidRPr="005F2C03" w:rsidRDefault="00A30C63">
            <w:pPr>
              <w:spacing w:after="160"/>
              <w:jc w:val="center"/>
              <w:rPr>
                <w:rFonts w:cs="Arial"/>
                <w:noProof/>
                <w:sz w:val="20"/>
              </w:rPr>
            </w:pPr>
            <w:r w:rsidRPr="005F2C03">
              <w:rPr>
                <w:rFonts w:cs="Arial"/>
                <w:noProof/>
                <w:sz w:val="20"/>
              </w:rPr>
              <w:t>NIT: 860.002.398-5</w:t>
            </w:r>
          </w:p>
        </w:tc>
        <w:tc>
          <w:tcPr>
            <w:tcW w:w="1524" w:type="pct"/>
            <w:tcBorders>
              <w:top w:val="single" w:sz="4" w:space="0" w:color="auto"/>
              <w:left w:val="single" w:sz="4" w:space="0" w:color="auto"/>
              <w:bottom w:val="single" w:sz="4" w:space="0" w:color="auto"/>
              <w:right w:val="single" w:sz="4" w:space="0" w:color="auto"/>
            </w:tcBorders>
            <w:vAlign w:val="center"/>
          </w:tcPr>
          <w:p w14:paraId="777064C2"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2DD667E1"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Accidentes Personales, Vida Grupo, Colectivo Vida, Salud, Vida Individual, Pensiones de Jubilación, Seguros Pensionales con Conmutación Pensional, Seguros de Pensiones Ley 100 y Seguro de Desempleo.</w:t>
            </w:r>
          </w:p>
        </w:tc>
      </w:tr>
      <w:tr w:rsidR="00A30C63" w:rsidRPr="005F2C03" w14:paraId="1EE282D9"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03351F9E" w14:textId="77777777" w:rsidR="00A30C63" w:rsidRPr="005F2C03" w:rsidRDefault="00A30C63">
            <w:pPr>
              <w:jc w:val="center"/>
              <w:rPr>
                <w:rFonts w:cs="Arial"/>
                <w:noProof/>
                <w:sz w:val="20"/>
              </w:rPr>
            </w:pPr>
            <w:r w:rsidRPr="005F2C03">
              <w:rPr>
                <w:rFonts w:cs="Arial"/>
                <w:noProof/>
                <w:sz w:val="20"/>
              </w:rPr>
              <w:t>22</w:t>
            </w:r>
          </w:p>
        </w:tc>
        <w:tc>
          <w:tcPr>
            <w:tcW w:w="2173" w:type="pct"/>
            <w:tcBorders>
              <w:top w:val="single" w:sz="4" w:space="0" w:color="auto"/>
              <w:left w:val="single" w:sz="4" w:space="0" w:color="auto"/>
              <w:bottom w:val="single" w:sz="4" w:space="0" w:color="auto"/>
              <w:right w:val="single" w:sz="4" w:space="0" w:color="auto"/>
            </w:tcBorders>
            <w:vAlign w:val="center"/>
          </w:tcPr>
          <w:p w14:paraId="280A9A23" w14:textId="464128D6" w:rsidR="00A30C63" w:rsidRPr="005F2C03" w:rsidRDefault="00A30C63">
            <w:pPr>
              <w:jc w:val="center"/>
              <w:rPr>
                <w:rFonts w:cs="Arial"/>
                <w:noProof/>
                <w:sz w:val="20"/>
              </w:rPr>
            </w:pPr>
            <w:r w:rsidRPr="005F2C03">
              <w:rPr>
                <w:rFonts w:cs="Arial"/>
                <w:noProof/>
                <w:sz w:val="20"/>
              </w:rPr>
              <w:drawing>
                <wp:inline distT="0" distB="0" distL="0" distR="0" wp14:anchorId="17A85434" wp14:editId="233F1624">
                  <wp:extent cx="1173480" cy="409575"/>
                  <wp:effectExtent l="0" t="0" r="7620" b="9525"/>
                  <wp:docPr id="470004967" name="Imagen 2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Interfaz de usuario gráfic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t="21635" b="16331"/>
                          <a:stretch>
                            <a:fillRect/>
                          </a:stretch>
                        </pic:blipFill>
                        <pic:spPr bwMode="auto">
                          <a:xfrm>
                            <a:off x="0" y="0"/>
                            <a:ext cx="1173480" cy="409575"/>
                          </a:xfrm>
                          <a:prstGeom prst="rect">
                            <a:avLst/>
                          </a:prstGeom>
                          <a:noFill/>
                          <a:ln>
                            <a:noFill/>
                          </a:ln>
                        </pic:spPr>
                      </pic:pic>
                    </a:graphicData>
                  </a:graphic>
                </wp:inline>
              </w:drawing>
            </w:r>
          </w:p>
          <w:p w14:paraId="39C7EADD" w14:textId="77777777" w:rsidR="00A30C63" w:rsidRPr="005F2C03" w:rsidRDefault="00A30C63">
            <w:pPr>
              <w:jc w:val="center"/>
              <w:rPr>
                <w:rFonts w:cs="Arial"/>
                <w:noProof/>
                <w:sz w:val="20"/>
              </w:rPr>
            </w:pPr>
            <w:r w:rsidRPr="005F2C03">
              <w:rPr>
                <w:rFonts w:cs="Arial"/>
                <w:noProof/>
                <w:sz w:val="20"/>
              </w:rPr>
              <w:t>NACIONAL DE SEGUROS S.A.</w:t>
            </w:r>
          </w:p>
          <w:p w14:paraId="4589E8F7" w14:textId="77777777" w:rsidR="00A30C63" w:rsidRPr="005F2C03" w:rsidRDefault="00A30C63">
            <w:pPr>
              <w:jc w:val="center"/>
              <w:rPr>
                <w:rFonts w:cs="Arial"/>
                <w:noProof/>
                <w:sz w:val="20"/>
              </w:rPr>
            </w:pPr>
          </w:p>
          <w:p w14:paraId="56BB2CE9" w14:textId="77777777" w:rsidR="00A30C63" w:rsidRPr="005F2C03" w:rsidRDefault="00A30C63">
            <w:pPr>
              <w:jc w:val="center"/>
              <w:rPr>
                <w:rFonts w:cs="Arial"/>
                <w:noProof/>
                <w:sz w:val="20"/>
              </w:rPr>
            </w:pPr>
            <w:r w:rsidRPr="005F2C03">
              <w:rPr>
                <w:rFonts w:cs="Arial"/>
                <w:noProof/>
                <w:sz w:val="20"/>
              </w:rPr>
              <w:t>Calle 94 No. 11 - 30</w:t>
            </w:r>
          </w:p>
          <w:p w14:paraId="65B6D709" w14:textId="77777777" w:rsidR="00A30C63" w:rsidRPr="005F2C03" w:rsidRDefault="00A30C63">
            <w:pPr>
              <w:jc w:val="center"/>
              <w:rPr>
                <w:rFonts w:cs="Arial"/>
                <w:noProof/>
                <w:sz w:val="20"/>
              </w:rPr>
            </w:pPr>
            <w:r w:rsidRPr="005F2C03">
              <w:rPr>
                <w:rFonts w:cs="Arial"/>
                <w:noProof/>
                <w:sz w:val="20"/>
              </w:rPr>
              <w:t>Oficina 401</w:t>
            </w:r>
          </w:p>
          <w:p w14:paraId="32645FCB" w14:textId="77777777" w:rsidR="00A30C63" w:rsidRPr="005F2C03" w:rsidRDefault="00A30C63">
            <w:pPr>
              <w:jc w:val="center"/>
              <w:rPr>
                <w:rFonts w:cs="Arial"/>
                <w:noProof/>
                <w:sz w:val="20"/>
              </w:rPr>
            </w:pPr>
            <w:r w:rsidRPr="005F2C03">
              <w:rPr>
                <w:rFonts w:cs="Arial"/>
                <w:noProof/>
                <w:sz w:val="20"/>
              </w:rPr>
              <w:t>Bogotá, D.C., Colombia</w:t>
            </w:r>
          </w:p>
          <w:p w14:paraId="4FBBBB52" w14:textId="77777777" w:rsidR="00A30C63" w:rsidRPr="005F2C03" w:rsidRDefault="00A30C63">
            <w:pPr>
              <w:jc w:val="center"/>
              <w:rPr>
                <w:rFonts w:cs="Arial"/>
                <w:noProof/>
                <w:sz w:val="20"/>
              </w:rPr>
            </w:pPr>
            <w:r w:rsidRPr="005F2C03">
              <w:rPr>
                <w:rFonts w:cs="Arial"/>
                <w:noProof/>
                <w:sz w:val="20"/>
              </w:rPr>
              <w:t>Conmutador: 746 32 19</w:t>
            </w:r>
          </w:p>
        </w:tc>
        <w:tc>
          <w:tcPr>
            <w:tcW w:w="1524" w:type="pct"/>
            <w:tcBorders>
              <w:top w:val="single" w:sz="4" w:space="0" w:color="auto"/>
              <w:left w:val="single" w:sz="4" w:space="0" w:color="auto"/>
              <w:bottom w:val="single" w:sz="4" w:space="0" w:color="auto"/>
              <w:right w:val="single" w:sz="4" w:space="0" w:color="auto"/>
            </w:tcBorders>
            <w:vAlign w:val="center"/>
          </w:tcPr>
          <w:p w14:paraId="700E2B0D"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Cumplimiento y Responsabilidad Civil.</w:t>
            </w:r>
          </w:p>
          <w:p w14:paraId="6A9691FF"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2D6BE2A4" w14:textId="77777777" w:rsidR="00A30C63" w:rsidRPr="005F2C03" w:rsidRDefault="00A30C63">
            <w:pPr>
              <w:jc w:val="center"/>
              <w:rPr>
                <w:rFonts w:cs="Arial"/>
                <w:color w:val="000000"/>
                <w:sz w:val="20"/>
                <w:shd w:val="clear" w:color="auto" w:fill="FCFCFC"/>
              </w:rPr>
            </w:pPr>
          </w:p>
        </w:tc>
      </w:tr>
      <w:tr w:rsidR="00A30C63" w:rsidRPr="005F2C03" w14:paraId="2329C29F"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72C28D6E" w14:textId="77777777" w:rsidR="00A30C63" w:rsidRPr="005F2C03" w:rsidRDefault="00A30C63">
            <w:pPr>
              <w:jc w:val="center"/>
              <w:rPr>
                <w:rFonts w:cs="Arial"/>
                <w:noProof/>
                <w:sz w:val="20"/>
              </w:rPr>
            </w:pPr>
            <w:r w:rsidRPr="005F2C03">
              <w:rPr>
                <w:rFonts w:cs="Arial"/>
                <w:noProof/>
                <w:sz w:val="20"/>
              </w:rPr>
              <w:t>23</w:t>
            </w:r>
          </w:p>
        </w:tc>
        <w:tc>
          <w:tcPr>
            <w:tcW w:w="2173" w:type="pct"/>
            <w:tcBorders>
              <w:top w:val="single" w:sz="4" w:space="0" w:color="auto"/>
              <w:left w:val="single" w:sz="4" w:space="0" w:color="auto"/>
              <w:bottom w:val="single" w:sz="4" w:space="0" w:color="auto"/>
              <w:right w:val="single" w:sz="4" w:space="0" w:color="auto"/>
            </w:tcBorders>
            <w:vAlign w:val="center"/>
          </w:tcPr>
          <w:p w14:paraId="2CB8A38E" w14:textId="59505681" w:rsidR="00A30C63" w:rsidRPr="005F2C03" w:rsidRDefault="00A30C63">
            <w:pPr>
              <w:jc w:val="center"/>
              <w:rPr>
                <w:rFonts w:cs="Arial"/>
                <w:noProof/>
                <w:sz w:val="20"/>
              </w:rPr>
            </w:pPr>
            <w:r w:rsidRPr="005F2C03">
              <w:rPr>
                <w:rFonts w:cs="Arial"/>
                <w:noProof/>
                <w:sz w:val="20"/>
              </w:rPr>
              <w:drawing>
                <wp:inline distT="0" distB="0" distL="0" distR="0" wp14:anchorId="2FB30ECE" wp14:editId="0F7D69CB">
                  <wp:extent cx="1460500" cy="600710"/>
                  <wp:effectExtent l="0" t="0" r="6350" b="8890"/>
                  <wp:docPr id="1228952886" name="Imagen 25"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Texto&#10;&#10;Descripción generada automáticamente con confianza baja"/>
                          <pic:cNvPicPr>
                            <a:picLocks noChangeAspect="1" noChangeArrowheads="1"/>
                          </pic:cNvPicPr>
                        </pic:nvPicPr>
                        <pic:blipFill>
                          <a:blip r:embed="rId46">
                            <a:extLst>
                              <a:ext uri="{28A0092B-C50C-407E-A947-70E740481C1C}">
                                <a14:useLocalDpi xmlns:a14="http://schemas.microsoft.com/office/drawing/2010/main" val="0"/>
                              </a:ext>
                            </a:extLst>
                          </a:blip>
                          <a:srcRect t="12781" b="13998"/>
                          <a:stretch>
                            <a:fillRect/>
                          </a:stretch>
                        </pic:blipFill>
                        <pic:spPr bwMode="auto">
                          <a:xfrm>
                            <a:off x="0" y="0"/>
                            <a:ext cx="1460500" cy="600710"/>
                          </a:xfrm>
                          <a:prstGeom prst="rect">
                            <a:avLst/>
                          </a:prstGeom>
                          <a:noFill/>
                          <a:ln>
                            <a:noFill/>
                          </a:ln>
                        </pic:spPr>
                      </pic:pic>
                    </a:graphicData>
                  </a:graphic>
                </wp:inline>
              </w:drawing>
            </w:r>
          </w:p>
          <w:p w14:paraId="42675C52" w14:textId="77777777" w:rsidR="00A30C63" w:rsidRPr="005F2C03" w:rsidRDefault="00A30C63">
            <w:pPr>
              <w:jc w:val="center"/>
              <w:rPr>
                <w:rFonts w:cs="Arial"/>
                <w:noProof/>
                <w:sz w:val="20"/>
              </w:rPr>
            </w:pPr>
            <w:r w:rsidRPr="005F2C03">
              <w:rPr>
                <w:rFonts w:cs="Arial"/>
                <w:noProof/>
                <w:sz w:val="20"/>
              </w:rPr>
              <w:t>PAN AMERICAN LIFE DE COLOMBIA COMPAÑÍA DE SEGUROS S.A.</w:t>
            </w:r>
          </w:p>
          <w:p w14:paraId="124D988C" w14:textId="77777777" w:rsidR="00A30C63" w:rsidRPr="005F2C03" w:rsidRDefault="00A30C63">
            <w:pPr>
              <w:jc w:val="center"/>
              <w:rPr>
                <w:rFonts w:cs="Arial"/>
                <w:noProof/>
                <w:sz w:val="20"/>
              </w:rPr>
            </w:pPr>
          </w:p>
          <w:p w14:paraId="45E1F5C5" w14:textId="77777777" w:rsidR="00A30C63" w:rsidRPr="005F2C03" w:rsidRDefault="00A30C63">
            <w:pPr>
              <w:jc w:val="center"/>
              <w:rPr>
                <w:rFonts w:cs="Arial"/>
                <w:noProof/>
                <w:sz w:val="20"/>
                <w:lang w:val="en-US"/>
              </w:rPr>
            </w:pPr>
            <w:r w:rsidRPr="005F2C03">
              <w:rPr>
                <w:rFonts w:cs="Arial"/>
                <w:noProof/>
                <w:sz w:val="20"/>
              </w:rPr>
              <w:t xml:space="preserve">Av. Calle 116 No. 23-06/28 P.7 Ed. </w:t>
            </w:r>
            <w:r w:rsidRPr="005F2C03">
              <w:rPr>
                <w:rFonts w:cs="Arial"/>
                <w:noProof/>
                <w:sz w:val="20"/>
                <w:lang w:val="en-US"/>
              </w:rPr>
              <w:t>Business Center Cl. 116</w:t>
            </w:r>
          </w:p>
          <w:p w14:paraId="089E6847" w14:textId="77777777" w:rsidR="00A30C63" w:rsidRPr="005F2C03" w:rsidRDefault="00A30C63">
            <w:pPr>
              <w:jc w:val="center"/>
              <w:rPr>
                <w:rFonts w:cs="Arial"/>
                <w:noProof/>
                <w:sz w:val="20"/>
                <w:lang w:val="en-US"/>
              </w:rPr>
            </w:pPr>
            <w:r w:rsidRPr="005F2C03">
              <w:rPr>
                <w:rFonts w:cs="Arial"/>
                <w:noProof/>
                <w:sz w:val="20"/>
                <w:lang w:val="en-US"/>
              </w:rPr>
              <w:t>Bogotá, D.C., Colombia</w:t>
            </w:r>
          </w:p>
          <w:p w14:paraId="401319E0" w14:textId="77777777" w:rsidR="00A30C63" w:rsidRPr="005F2C03" w:rsidRDefault="00A30C63">
            <w:pPr>
              <w:jc w:val="center"/>
              <w:rPr>
                <w:rFonts w:cs="Arial"/>
                <w:noProof/>
                <w:sz w:val="20"/>
              </w:rPr>
            </w:pPr>
            <w:r w:rsidRPr="005F2C03">
              <w:rPr>
                <w:rFonts w:cs="Arial"/>
                <w:noProof/>
                <w:sz w:val="20"/>
              </w:rPr>
              <w:t>Apartado Postal: 76000</w:t>
            </w:r>
          </w:p>
          <w:p w14:paraId="37D4750D" w14:textId="77777777" w:rsidR="00A30C63" w:rsidRPr="005F2C03" w:rsidRDefault="00A30C63">
            <w:pPr>
              <w:jc w:val="center"/>
              <w:rPr>
                <w:rFonts w:cs="Arial"/>
                <w:noProof/>
                <w:sz w:val="20"/>
              </w:rPr>
            </w:pPr>
            <w:r w:rsidRPr="005F2C03">
              <w:rPr>
                <w:rFonts w:cs="Arial"/>
                <w:noProof/>
                <w:sz w:val="20"/>
              </w:rPr>
              <w:t>Fax: 7026449</w:t>
            </w:r>
          </w:p>
        </w:tc>
        <w:tc>
          <w:tcPr>
            <w:tcW w:w="1524" w:type="pct"/>
            <w:tcBorders>
              <w:top w:val="single" w:sz="4" w:space="0" w:color="auto"/>
              <w:left w:val="single" w:sz="4" w:space="0" w:color="auto"/>
              <w:bottom w:val="single" w:sz="4" w:space="0" w:color="auto"/>
              <w:right w:val="single" w:sz="4" w:space="0" w:color="auto"/>
            </w:tcBorders>
            <w:vAlign w:val="center"/>
          </w:tcPr>
          <w:p w14:paraId="6C9B42EB"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1B63315A"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Vida Individual, Accidentes, Pólizas Colectivas de Grupo, Planes de Hospitalización y Cirugía.</w:t>
            </w:r>
          </w:p>
          <w:p w14:paraId="47690676" w14:textId="77777777" w:rsidR="00A30C63" w:rsidRPr="005F2C03" w:rsidRDefault="00A30C63">
            <w:pPr>
              <w:jc w:val="center"/>
              <w:rPr>
                <w:rFonts w:cs="Arial"/>
                <w:color w:val="000000"/>
                <w:sz w:val="20"/>
                <w:shd w:val="clear" w:color="auto" w:fill="FCFCFC"/>
              </w:rPr>
            </w:pPr>
          </w:p>
        </w:tc>
      </w:tr>
      <w:tr w:rsidR="00A30C63" w:rsidRPr="005F2C03" w14:paraId="671D9BF4"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141C1ADE" w14:textId="77777777" w:rsidR="00A30C63" w:rsidRPr="005F2C03" w:rsidRDefault="00A30C63">
            <w:pPr>
              <w:jc w:val="center"/>
              <w:rPr>
                <w:rFonts w:cs="Arial"/>
                <w:noProof/>
                <w:sz w:val="20"/>
              </w:rPr>
            </w:pPr>
            <w:r w:rsidRPr="005F2C03">
              <w:rPr>
                <w:rFonts w:cs="Arial"/>
                <w:noProof/>
                <w:sz w:val="20"/>
              </w:rPr>
              <w:t>24</w:t>
            </w:r>
          </w:p>
        </w:tc>
        <w:tc>
          <w:tcPr>
            <w:tcW w:w="2173" w:type="pct"/>
            <w:tcBorders>
              <w:top w:val="single" w:sz="4" w:space="0" w:color="auto"/>
              <w:left w:val="single" w:sz="4" w:space="0" w:color="auto"/>
              <w:bottom w:val="single" w:sz="4" w:space="0" w:color="auto"/>
              <w:right w:val="single" w:sz="4" w:space="0" w:color="auto"/>
            </w:tcBorders>
            <w:vAlign w:val="center"/>
          </w:tcPr>
          <w:p w14:paraId="153F669B" w14:textId="040EBDEF" w:rsidR="00A30C63" w:rsidRPr="005F2C03" w:rsidRDefault="00A30C63">
            <w:pPr>
              <w:jc w:val="center"/>
              <w:rPr>
                <w:rFonts w:cs="Arial"/>
                <w:noProof/>
                <w:sz w:val="20"/>
              </w:rPr>
            </w:pPr>
            <w:r w:rsidRPr="005F2C03">
              <w:rPr>
                <w:rFonts w:cs="Arial"/>
                <w:noProof/>
                <w:sz w:val="20"/>
              </w:rPr>
              <w:drawing>
                <wp:inline distT="0" distB="0" distL="0" distR="0" wp14:anchorId="034BCC5B" wp14:editId="6D4B7D31">
                  <wp:extent cx="1515110" cy="648335"/>
                  <wp:effectExtent l="0" t="0" r="8890" b="0"/>
                  <wp:docPr id="821048312"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tipo, nombre de la empresa&#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t="9375" b="10909"/>
                          <a:stretch>
                            <a:fillRect/>
                          </a:stretch>
                        </pic:blipFill>
                        <pic:spPr bwMode="auto">
                          <a:xfrm>
                            <a:off x="0" y="0"/>
                            <a:ext cx="1515110" cy="648335"/>
                          </a:xfrm>
                          <a:prstGeom prst="rect">
                            <a:avLst/>
                          </a:prstGeom>
                          <a:noFill/>
                          <a:ln>
                            <a:noFill/>
                          </a:ln>
                        </pic:spPr>
                      </pic:pic>
                    </a:graphicData>
                  </a:graphic>
                </wp:inline>
              </w:drawing>
            </w:r>
          </w:p>
          <w:p w14:paraId="3C500560" w14:textId="77777777" w:rsidR="00A30C63" w:rsidRPr="005F2C03" w:rsidRDefault="00A30C63">
            <w:pPr>
              <w:tabs>
                <w:tab w:val="left" w:pos="3465"/>
              </w:tabs>
              <w:jc w:val="center"/>
              <w:rPr>
                <w:rFonts w:cs="Arial"/>
                <w:noProof/>
                <w:sz w:val="20"/>
              </w:rPr>
            </w:pPr>
            <w:r w:rsidRPr="005F2C03">
              <w:rPr>
                <w:rFonts w:cs="Arial"/>
                <w:noProof/>
                <w:sz w:val="20"/>
              </w:rPr>
              <w:t>POSITIVA COMPAÑÍA DE SEGUROS S.A.</w:t>
            </w:r>
          </w:p>
          <w:p w14:paraId="64EB0F23" w14:textId="77777777" w:rsidR="00A30C63" w:rsidRPr="005F2C03" w:rsidRDefault="00A30C63">
            <w:pPr>
              <w:tabs>
                <w:tab w:val="left" w:pos="3465"/>
              </w:tabs>
              <w:jc w:val="center"/>
              <w:rPr>
                <w:rFonts w:cs="Arial"/>
                <w:noProof/>
                <w:sz w:val="20"/>
              </w:rPr>
            </w:pPr>
          </w:p>
          <w:p w14:paraId="28B094B2" w14:textId="77777777" w:rsidR="00A30C63" w:rsidRPr="005F2C03" w:rsidRDefault="00A30C63">
            <w:pPr>
              <w:tabs>
                <w:tab w:val="left" w:pos="3465"/>
              </w:tabs>
              <w:jc w:val="center"/>
              <w:rPr>
                <w:rFonts w:cs="Arial"/>
                <w:noProof/>
                <w:sz w:val="20"/>
              </w:rPr>
            </w:pPr>
            <w:r w:rsidRPr="005F2C03">
              <w:rPr>
                <w:rFonts w:cs="Arial"/>
                <w:noProof/>
                <w:sz w:val="20"/>
              </w:rPr>
              <w:t>Avenida Carrera 45 (Autopista Norte) No. 94-72</w:t>
            </w:r>
          </w:p>
          <w:p w14:paraId="1945487C" w14:textId="77777777" w:rsidR="00A30C63" w:rsidRPr="005F2C03" w:rsidRDefault="00A30C63">
            <w:pPr>
              <w:tabs>
                <w:tab w:val="left" w:pos="3465"/>
              </w:tabs>
              <w:jc w:val="center"/>
              <w:rPr>
                <w:rFonts w:cs="Arial"/>
                <w:noProof/>
                <w:sz w:val="20"/>
              </w:rPr>
            </w:pPr>
            <w:r w:rsidRPr="005F2C03">
              <w:rPr>
                <w:rFonts w:cs="Arial"/>
                <w:noProof/>
                <w:sz w:val="20"/>
              </w:rPr>
              <w:t>Bogotá, D.C., Colombia</w:t>
            </w:r>
          </w:p>
          <w:p w14:paraId="11FA6C08" w14:textId="77777777" w:rsidR="00A30C63" w:rsidRPr="005F2C03" w:rsidRDefault="00A30C63">
            <w:pPr>
              <w:tabs>
                <w:tab w:val="left" w:pos="3465"/>
              </w:tabs>
              <w:jc w:val="center"/>
              <w:rPr>
                <w:rFonts w:cs="Arial"/>
                <w:noProof/>
                <w:sz w:val="20"/>
              </w:rPr>
            </w:pPr>
            <w:r w:rsidRPr="005F2C03">
              <w:rPr>
                <w:rFonts w:cs="Arial"/>
                <w:noProof/>
                <w:sz w:val="20"/>
              </w:rPr>
              <w:t>Fax: 650 21 51 PBX: 650 22 00</w:t>
            </w:r>
          </w:p>
        </w:tc>
        <w:tc>
          <w:tcPr>
            <w:tcW w:w="1524" w:type="pct"/>
            <w:tcBorders>
              <w:top w:val="single" w:sz="4" w:space="0" w:color="auto"/>
              <w:left w:val="single" w:sz="4" w:space="0" w:color="auto"/>
              <w:bottom w:val="single" w:sz="4" w:space="0" w:color="auto"/>
              <w:right w:val="single" w:sz="4" w:space="0" w:color="auto"/>
            </w:tcBorders>
            <w:vAlign w:val="center"/>
          </w:tcPr>
          <w:p w14:paraId="4F0F1E1C"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120302A6"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 xml:space="preserve">Riesgos Laborales, Vida Grupo, Accidentes Personales, Vida Individual, Salud, </w:t>
            </w:r>
            <w:r w:rsidRPr="005F2C03">
              <w:rPr>
                <w:rFonts w:cs="Arial"/>
                <w:color w:val="000000"/>
                <w:sz w:val="20"/>
                <w:shd w:val="clear" w:color="auto" w:fill="FCFCFC"/>
              </w:rPr>
              <w:lastRenderedPageBreak/>
              <w:t>BEPS, Conmutación Pensional, Pensiones Voluntarias, Exequias y Desempleo.</w:t>
            </w:r>
          </w:p>
          <w:p w14:paraId="1889520E" w14:textId="77777777" w:rsidR="00A30C63" w:rsidRPr="005F2C03" w:rsidRDefault="00A30C63">
            <w:pPr>
              <w:jc w:val="center"/>
              <w:rPr>
                <w:rFonts w:cs="Arial"/>
                <w:color w:val="000000"/>
                <w:sz w:val="20"/>
                <w:shd w:val="clear" w:color="auto" w:fill="FCFCFC"/>
              </w:rPr>
            </w:pPr>
          </w:p>
        </w:tc>
      </w:tr>
      <w:tr w:rsidR="00A30C63" w:rsidRPr="005F2C03" w14:paraId="3AD25727" w14:textId="77777777" w:rsidTr="00BF5F29">
        <w:trPr>
          <w:trHeight w:val="2624"/>
        </w:trPr>
        <w:tc>
          <w:tcPr>
            <w:tcW w:w="267" w:type="pct"/>
            <w:tcBorders>
              <w:top w:val="single" w:sz="4" w:space="0" w:color="auto"/>
              <w:left w:val="single" w:sz="4" w:space="0" w:color="auto"/>
              <w:bottom w:val="single" w:sz="4" w:space="0" w:color="auto"/>
              <w:right w:val="single" w:sz="4" w:space="0" w:color="auto"/>
            </w:tcBorders>
            <w:vAlign w:val="center"/>
            <w:hideMark/>
          </w:tcPr>
          <w:p w14:paraId="75F4DAAB" w14:textId="77777777" w:rsidR="00A30C63" w:rsidRPr="005F2C03" w:rsidRDefault="00A30C63">
            <w:pPr>
              <w:jc w:val="center"/>
              <w:rPr>
                <w:rFonts w:cs="Arial"/>
                <w:noProof/>
                <w:sz w:val="20"/>
              </w:rPr>
            </w:pPr>
            <w:r w:rsidRPr="005F2C03">
              <w:rPr>
                <w:rFonts w:cs="Arial"/>
                <w:noProof/>
                <w:sz w:val="20"/>
              </w:rPr>
              <w:lastRenderedPageBreak/>
              <w:t>25</w:t>
            </w:r>
          </w:p>
        </w:tc>
        <w:tc>
          <w:tcPr>
            <w:tcW w:w="2173" w:type="pct"/>
            <w:tcBorders>
              <w:top w:val="single" w:sz="4" w:space="0" w:color="auto"/>
              <w:left w:val="single" w:sz="4" w:space="0" w:color="auto"/>
              <w:bottom w:val="single" w:sz="4" w:space="0" w:color="auto"/>
              <w:right w:val="single" w:sz="4" w:space="0" w:color="auto"/>
            </w:tcBorders>
            <w:vAlign w:val="center"/>
          </w:tcPr>
          <w:p w14:paraId="4D75DC10" w14:textId="77777777" w:rsidR="00A30C63" w:rsidRPr="005F2C03" w:rsidRDefault="00A30C63">
            <w:pPr>
              <w:jc w:val="center"/>
              <w:rPr>
                <w:rFonts w:cs="Arial"/>
                <w:noProof/>
                <w:sz w:val="20"/>
              </w:rPr>
            </w:pPr>
          </w:p>
          <w:p w14:paraId="3D883B16" w14:textId="03CC0426" w:rsidR="00A30C63" w:rsidRPr="005F2C03" w:rsidRDefault="00A30C63">
            <w:pPr>
              <w:jc w:val="center"/>
              <w:rPr>
                <w:rFonts w:cs="Arial"/>
                <w:noProof/>
                <w:sz w:val="20"/>
              </w:rPr>
            </w:pPr>
            <w:r w:rsidRPr="005F2C03">
              <w:rPr>
                <w:rFonts w:cs="Arial"/>
                <w:noProof/>
                <w:sz w:val="20"/>
              </w:rPr>
              <w:drawing>
                <wp:inline distT="0" distB="0" distL="0" distR="0" wp14:anchorId="0DEB7888" wp14:editId="5CAD6A18">
                  <wp:extent cx="1269365" cy="320675"/>
                  <wp:effectExtent l="0" t="0" r="6985" b="3175"/>
                  <wp:docPr id="1956177427" name="Imagen 2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tipo&#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t="28548" b="27335"/>
                          <a:stretch>
                            <a:fillRect/>
                          </a:stretch>
                        </pic:blipFill>
                        <pic:spPr bwMode="auto">
                          <a:xfrm>
                            <a:off x="0" y="0"/>
                            <a:ext cx="1269365" cy="320675"/>
                          </a:xfrm>
                          <a:prstGeom prst="rect">
                            <a:avLst/>
                          </a:prstGeom>
                          <a:noFill/>
                          <a:ln>
                            <a:noFill/>
                          </a:ln>
                        </pic:spPr>
                      </pic:pic>
                    </a:graphicData>
                  </a:graphic>
                </wp:inline>
              </w:drawing>
            </w:r>
          </w:p>
          <w:p w14:paraId="2E4F9CB3" w14:textId="77777777" w:rsidR="00A30C63" w:rsidRPr="005F2C03" w:rsidRDefault="00A30C63">
            <w:pPr>
              <w:jc w:val="center"/>
              <w:rPr>
                <w:rFonts w:cs="Arial"/>
                <w:noProof/>
                <w:sz w:val="20"/>
              </w:rPr>
            </w:pPr>
            <w:r w:rsidRPr="005F2C03">
              <w:rPr>
                <w:rFonts w:cs="Arial"/>
                <w:noProof/>
                <w:sz w:val="20"/>
              </w:rPr>
              <w:t>LA PREVISORA S.A. COMPAÑÍA DE SEGUROS</w:t>
            </w:r>
          </w:p>
          <w:p w14:paraId="3F3B5379" w14:textId="77777777" w:rsidR="00A30C63" w:rsidRPr="005F2C03" w:rsidRDefault="00A30C63">
            <w:pPr>
              <w:jc w:val="center"/>
              <w:rPr>
                <w:rFonts w:cs="Arial"/>
                <w:noProof/>
                <w:sz w:val="20"/>
              </w:rPr>
            </w:pPr>
          </w:p>
          <w:p w14:paraId="61FE17A1" w14:textId="77777777" w:rsidR="00A30C63" w:rsidRPr="005F2C03" w:rsidRDefault="00A30C63">
            <w:pPr>
              <w:jc w:val="center"/>
              <w:rPr>
                <w:rFonts w:cs="Arial"/>
                <w:noProof/>
                <w:sz w:val="20"/>
              </w:rPr>
            </w:pPr>
            <w:r w:rsidRPr="005F2C03">
              <w:rPr>
                <w:rFonts w:cs="Arial"/>
                <w:noProof/>
                <w:sz w:val="20"/>
              </w:rPr>
              <w:t>Calle 57 No. 9-07 Piso 1</w:t>
            </w:r>
          </w:p>
          <w:p w14:paraId="6BDD710C" w14:textId="77777777" w:rsidR="00A30C63" w:rsidRPr="005F2C03" w:rsidRDefault="00A30C63">
            <w:pPr>
              <w:jc w:val="center"/>
              <w:rPr>
                <w:rFonts w:cs="Arial"/>
                <w:noProof/>
                <w:sz w:val="20"/>
              </w:rPr>
            </w:pPr>
            <w:r w:rsidRPr="005F2C03">
              <w:rPr>
                <w:rFonts w:cs="Arial"/>
                <w:noProof/>
                <w:sz w:val="20"/>
              </w:rPr>
              <w:t>Bogotá, D.C., Colombia</w:t>
            </w:r>
          </w:p>
          <w:p w14:paraId="2946D957" w14:textId="77777777" w:rsidR="00A30C63" w:rsidRPr="005F2C03" w:rsidRDefault="00A30C63">
            <w:pPr>
              <w:jc w:val="center"/>
              <w:rPr>
                <w:rFonts w:cs="Arial"/>
                <w:noProof/>
                <w:sz w:val="20"/>
              </w:rPr>
            </w:pPr>
            <w:r w:rsidRPr="005F2C03">
              <w:rPr>
                <w:rFonts w:cs="Arial"/>
                <w:noProof/>
                <w:sz w:val="20"/>
              </w:rPr>
              <w:t>Pbx:: 348 57 57</w:t>
            </w:r>
          </w:p>
          <w:p w14:paraId="1E0C9B60" w14:textId="77777777" w:rsidR="00A30C63" w:rsidRPr="005F2C03" w:rsidRDefault="00A30C63">
            <w:pPr>
              <w:jc w:val="center"/>
              <w:rPr>
                <w:rFonts w:cs="Arial"/>
                <w:noProof/>
                <w:sz w:val="20"/>
              </w:rPr>
            </w:pPr>
            <w:r w:rsidRPr="005F2C03">
              <w:rPr>
                <w:rFonts w:cs="Arial"/>
                <w:noProof/>
                <w:sz w:val="20"/>
              </w:rPr>
              <w:t>Código Postal: 52946</w:t>
            </w:r>
          </w:p>
        </w:tc>
        <w:tc>
          <w:tcPr>
            <w:tcW w:w="1524" w:type="pct"/>
            <w:tcBorders>
              <w:top w:val="single" w:sz="4" w:space="0" w:color="auto"/>
              <w:left w:val="single" w:sz="4" w:space="0" w:color="auto"/>
              <w:bottom w:val="single" w:sz="4" w:space="0" w:color="auto"/>
              <w:right w:val="single" w:sz="4" w:space="0" w:color="auto"/>
            </w:tcBorders>
            <w:vAlign w:val="center"/>
            <w:hideMark/>
          </w:tcPr>
          <w:p w14:paraId="64B17143"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t>Automóviles, Manejo, Seguro Decenal, Cumplimiento, Manejo Global Bancario, Caución Judicial; Incendio, Sustracción, Transporte, Casco Barco, Vidrios Planos, Casco Aviación, Terremoto, Obras Civiles Terminadas; Rotura de Maquinaria, Montaje de Maquinaria, Corriente Débil, Todo Riesgo Contratistas, Daños Materiales Combinados, Agrícola, Responsabilidad Civil, Vida Grupo, Vida Deudores, Accidentes Personales, Desempleo.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6530ACF"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Vida Grupo, Vida Deudores, Accidentes Personales, SOAT</w:t>
            </w:r>
          </w:p>
        </w:tc>
      </w:tr>
      <w:tr w:rsidR="00A30C63" w:rsidRPr="005F2C03" w14:paraId="7EE832DF"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32665699" w14:textId="77777777" w:rsidR="00A30C63" w:rsidRPr="005F2C03" w:rsidRDefault="00A30C63">
            <w:pPr>
              <w:jc w:val="center"/>
              <w:rPr>
                <w:rFonts w:cs="Arial"/>
                <w:noProof/>
                <w:sz w:val="20"/>
              </w:rPr>
            </w:pPr>
            <w:r w:rsidRPr="005F2C03">
              <w:rPr>
                <w:rFonts w:cs="Arial"/>
                <w:noProof/>
                <w:sz w:val="20"/>
              </w:rPr>
              <w:t>26</w:t>
            </w:r>
          </w:p>
        </w:tc>
        <w:tc>
          <w:tcPr>
            <w:tcW w:w="2173" w:type="pct"/>
            <w:tcBorders>
              <w:top w:val="single" w:sz="4" w:space="0" w:color="auto"/>
              <w:left w:val="single" w:sz="4" w:space="0" w:color="auto"/>
              <w:bottom w:val="single" w:sz="4" w:space="0" w:color="auto"/>
              <w:right w:val="single" w:sz="4" w:space="0" w:color="auto"/>
            </w:tcBorders>
            <w:vAlign w:val="center"/>
          </w:tcPr>
          <w:p w14:paraId="1B1506D9" w14:textId="072F3F28" w:rsidR="00A30C63" w:rsidRPr="005F2C03" w:rsidRDefault="00A30C63">
            <w:pPr>
              <w:jc w:val="center"/>
              <w:rPr>
                <w:rFonts w:cs="Arial"/>
                <w:noProof/>
                <w:sz w:val="20"/>
              </w:rPr>
            </w:pPr>
            <w:r w:rsidRPr="005F2C03">
              <w:rPr>
                <w:rFonts w:cs="Arial"/>
                <w:noProof/>
                <w:sz w:val="20"/>
              </w:rPr>
              <w:drawing>
                <wp:inline distT="0" distB="0" distL="0" distR="0" wp14:anchorId="1D7BB91A" wp14:editId="7E07AAC5">
                  <wp:extent cx="1112520" cy="655320"/>
                  <wp:effectExtent l="0" t="0" r="0" b="0"/>
                  <wp:docPr id="1052782986"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cono&#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2520" cy="655320"/>
                          </a:xfrm>
                          <a:prstGeom prst="rect">
                            <a:avLst/>
                          </a:prstGeom>
                          <a:noFill/>
                          <a:ln>
                            <a:noFill/>
                          </a:ln>
                        </pic:spPr>
                      </pic:pic>
                    </a:graphicData>
                  </a:graphic>
                </wp:inline>
              </w:drawing>
            </w:r>
          </w:p>
          <w:p w14:paraId="10B46F74" w14:textId="77777777" w:rsidR="00A30C63" w:rsidRPr="005F2C03" w:rsidRDefault="00A30C63">
            <w:pPr>
              <w:jc w:val="center"/>
              <w:rPr>
                <w:rFonts w:cs="Arial"/>
                <w:noProof/>
                <w:sz w:val="20"/>
              </w:rPr>
            </w:pPr>
            <w:r w:rsidRPr="005F2C03">
              <w:rPr>
                <w:rFonts w:cs="Arial"/>
                <w:noProof/>
                <w:sz w:val="20"/>
              </w:rPr>
              <w:t>PROAGRO</w:t>
            </w:r>
          </w:p>
          <w:p w14:paraId="75246697" w14:textId="77777777" w:rsidR="00A30C63" w:rsidRPr="005F2C03" w:rsidRDefault="00A30C63">
            <w:pPr>
              <w:jc w:val="center"/>
              <w:rPr>
                <w:rFonts w:cs="Arial"/>
                <w:noProof/>
                <w:sz w:val="20"/>
              </w:rPr>
            </w:pPr>
          </w:p>
          <w:p w14:paraId="1080AA91" w14:textId="77777777" w:rsidR="00A30C63" w:rsidRPr="005F2C03" w:rsidRDefault="00A30C63">
            <w:pPr>
              <w:jc w:val="center"/>
              <w:rPr>
                <w:rFonts w:cs="Arial"/>
                <w:noProof/>
                <w:sz w:val="20"/>
              </w:rPr>
            </w:pPr>
            <w:r w:rsidRPr="005F2C03">
              <w:rPr>
                <w:rFonts w:cs="Arial"/>
                <w:noProof/>
                <w:sz w:val="20"/>
              </w:rPr>
              <w:t>Bosque de Duraznos No. 61 Piso 2 y 11 Colonia Bosques de las Lomas. Delegación Miguel Hidalgo.</w:t>
            </w:r>
          </w:p>
          <w:p w14:paraId="331C2BF5" w14:textId="77777777" w:rsidR="00A30C63" w:rsidRPr="005F2C03" w:rsidRDefault="00A30C63">
            <w:pPr>
              <w:jc w:val="center"/>
              <w:rPr>
                <w:rFonts w:cs="Arial"/>
                <w:noProof/>
                <w:sz w:val="20"/>
              </w:rPr>
            </w:pPr>
            <w:r w:rsidRPr="005F2C03">
              <w:rPr>
                <w:rFonts w:cs="Arial"/>
                <w:noProof/>
                <w:sz w:val="20"/>
              </w:rPr>
              <w:t>Ciudad de México. México</w:t>
            </w:r>
          </w:p>
        </w:tc>
        <w:tc>
          <w:tcPr>
            <w:tcW w:w="1524" w:type="pct"/>
            <w:tcBorders>
              <w:top w:val="single" w:sz="4" w:space="0" w:color="auto"/>
              <w:left w:val="single" w:sz="4" w:space="0" w:color="auto"/>
              <w:bottom w:val="single" w:sz="4" w:space="0" w:color="auto"/>
              <w:right w:val="single" w:sz="4" w:space="0" w:color="auto"/>
            </w:tcBorders>
            <w:vAlign w:val="center"/>
          </w:tcPr>
          <w:p w14:paraId="5ACF2115"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Agropecuario</w:t>
            </w:r>
          </w:p>
          <w:p w14:paraId="5734FC9E"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26CC1902" w14:textId="77777777" w:rsidR="00A30C63" w:rsidRPr="005F2C03" w:rsidRDefault="00A30C63">
            <w:pPr>
              <w:jc w:val="center"/>
              <w:rPr>
                <w:rFonts w:cs="Arial"/>
                <w:color w:val="000000"/>
                <w:sz w:val="20"/>
                <w:shd w:val="clear" w:color="auto" w:fill="FCFCFC"/>
              </w:rPr>
            </w:pPr>
          </w:p>
        </w:tc>
      </w:tr>
      <w:tr w:rsidR="00A30C63" w:rsidRPr="005F2C03" w14:paraId="570F8D9B"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2CF48A5A" w14:textId="77777777" w:rsidR="00A30C63" w:rsidRPr="005F2C03" w:rsidRDefault="00A30C63">
            <w:pPr>
              <w:jc w:val="center"/>
              <w:rPr>
                <w:rFonts w:cs="Arial"/>
                <w:noProof/>
                <w:sz w:val="20"/>
              </w:rPr>
            </w:pPr>
            <w:r w:rsidRPr="005F2C03">
              <w:rPr>
                <w:rFonts w:cs="Arial"/>
                <w:noProof/>
                <w:sz w:val="20"/>
              </w:rPr>
              <w:t>27</w:t>
            </w:r>
          </w:p>
        </w:tc>
        <w:tc>
          <w:tcPr>
            <w:tcW w:w="2173" w:type="pct"/>
            <w:tcBorders>
              <w:top w:val="single" w:sz="4" w:space="0" w:color="auto"/>
              <w:left w:val="single" w:sz="4" w:space="0" w:color="auto"/>
              <w:bottom w:val="single" w:sz="4" w:space="0" w:color="auto"/>
              <w:right w:val="single" w:sz="4" w:space="0" w:color="auto"/>
            </w:tcBorders>
            <w:vAlign w:val="center"/>
          </w:tcPr>
          <w:p w14:paraId="3C6C638E" w14:textId="4B540C17" w:rsidR="00A30C63" w:rsidRPr="005F2C03" w:rsidRDefault="00A30C63">
            <w:pPr>
              <w:jc w:val="center"/>
              <w:rPr>
                <w:rFonts w:cs="Arial"/>
                <w:noProof/>
                <w:sz w:val="20"/>
              </w:rPr>
            </w:pPr>
            <w:r w:rsidRPr="005F2C03">
              <w:rPr>
                <w:rFonts w:cs="Arial"/>
                <w:noProof/>
                <w:sz w:val="20"/>
              </w:rPr>
              <w:drawing>
                <wp:inline distT="0" distB="0" distL="0" distR="0" wp14:anchorId="2E78CDB3" wp14:editId="0396CD71">
                  <wp:extent cx="1228090" cy="361950"/>
                  <wp:effectExtent l="0" t="0" r="0" b="0"/>
                  <wp:docPr id="2025240455" name="Imagen 21"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que contiene dibujo&#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t="22493" b="24071"/>
                          <a:stretch>
                            <a:fillRect/>
                          </a:stretch>
                        </pic:blipFill>
                        <pic:spPr bwMode="auto">
                          <a:xfrm>
                            <a:off x="0" y="0"/>
                            <a:ext cx="1228090" cy="361950"/>
                          </a:xfrm>
                          <a:prstGeom prst="rect">
                            <a:avLst/>
                          </a:prstGeom>
                          <a:noFill/>
                          <a:ln>
                            <a:noFill/>
                          </a:ln>
                        </pic:spPr>
                      </pic:pic>
                    </a:graphicData>
                  </a:graphic>
                </wp:inline>
              </w:drawing>
            </w:r>
          </w:p>
          <w:p w14:paraId="253415A8" w14:textId="77777777" w:rsidR="00A30C63" w:rsidRPr="005F2C03" w:rsidRDefault="00A30C63">
            <w:pPr>
              <w:jc w:val="center"/>
              <w:rPr>
                <w:rFonts w:cs="Arial"/>
                <w:noProof/>
                <w:sz w:val="20"/>
              </w:rPr>
            </w:pPr>
            <w:r w:rsidRPr="005F2C03">
              <w:rPr>
                <w:rFonts w:cs="Arial"/>
                <w:noProof/>
                <w:sz w:val="20"/>
              </w:rPr>
              <w:t>SBS SEGUROS COLOMBIA S.A</w:t>
            </w:r>
          </w:p>
          <w:p w14:paraId="5A2F840E" w14:textId="77777777" w:rsidR="00A30C63" w:rsidRPr="005F2C03" w:rsidRDefault="00A30C63">
            <w:pPr>
              <w:jc w:val="center"/>
              <w:rPr>
                <w:rFonts w:cs="Arial"/>
                <w:noProof/>
                <w:sz w:val="20"/>
              </w:rPr>
            </w:pPr>
          </w:p>
          <w:p w14:paraId="6BE9E580" w14:textId="77777777" w:rsidR="00A30C63" w:rsidRPr="005F2C03" w:rsidRDefault="00A30C63">
            <w:pPr>
              <w:jc w:val="center"/>
              <w:rPr>
                <w:rFonts w:cs="Arial"/>
                <w:noProof/>
                <w:sz w:val="20"/>
              </w:rPr>
            </w:pPr>
            <w:r w:rsidRPr="005F2C03">
              <w:rPr>
                <w:rFonts w:cs="Arial"/>
                <w:noProof/>
                <w:sz w:val="20"/>
              </w:rPr>
              <w:t>Conmutador Línea Bogotá: 313 87 00</w:t>
            </w:r>
          </w:p>
          <w:p w14:paraId="0716463B" w14:textId="77777777" w:rsidR="00A30C63" w:rsidRPr="005F2C03" w:rsidRDefault="00A30C63">
            <w:pPr>
              <w:jc w:val="center"/>
              <w:rPr>
                <w:rFonts w:cs="Arial"/>
                <w:noProof/>
                <w:sz w:val="20"/>
              </w:rPr>
            </w:pPr>
            <w:r w:rsidRPr="005F2C03">
              <w:rPr>
                <w:rFonts w:cs="Arial"/>
                <w:noProof/>
                <w:sz w:val="20"/>
              </w:rPr>
              <w:t>AvCarrera 9 N. 101-67 Piso 7</w:t>
            </w:r>
          </w:p>
          <w:p w14:paraId="7C90FA1B" w14:textId="77777777" w:rsidR="00A30C63" w:rsidRPr="005F2C03" w:rsidRDefault="00A30C63">
            <w:pPr>
              <w:jc w:val="center"/>
              <w:rPr>
                <w:rFonts w:cs="Arial"/>
                <w:noProof/>
                <w:sz w:val="20"/>
              </w:rPr>
            </w:pPr>
            <w:r w:rsidRPr="005F2C03">
              <w:rPr>
                <w:rFonts w:cs="Arial"/>
                <w:noProof/>
                <w:sz w:val="20"/>
              </w:rPr>
              <w:t>Bogotá, D.C., Colombia</w:t>
            </w:r>
          </w:p>
          <w:p w14:paraId="60D7D23F" w14:textId="77777777" w:rsidR="00A30C63" w:rsidRPr="005F2C03" w:rsidRDefault="00A30C63">
            <w:pPr>
              <w:spacing w:after="160"/>
              <w:jc w:val="center"/>
              <w:rPr>
                <w:rFonts w:cs="Arial"/>
                <w:noProof/>
                <w:sz w:val="20"/>
              </w:rPr>
            </w:pPr>
            <w:r w:rsidRPr="005F2C03">
              <w:rPr>
                <w:rFonts w:cs="Arial"/>
                <w:noProof/>
                <w:sz w:val="20"/>
              </w:rPr>
              <w:t>NIT:860.037.707-9</w:t>
            </w:r>
          </w:p>
        </w:tc>
        <w:tc>
          <w:tcPr>
            <w:tcW w:w="1524" w:type="pct"/>
            <w:tcBorders>
              <w:top w:val="single" w:sz="4" w:space="0" w:color="auto"/>
              <w:left w:val="single" w:sz="4" w:space="0" w:color="auto"/>
              <w:bottom w:val="single" w:sz="4" w:space="0" w:color="auto"/>
              <w:right w:val="single" w:sz="4" w:space="0" w:color="auto"/>
            </w:tcBorders>
            <w:vAlign w:val="center"/>
            <w:hideMark/>
          </w:tcPr>
          <w:p w14:paraId="52A99F37"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t>Automóviles, Aviación, Corriente Débil, Cumplimiento, Incendio, Lucro Cesante, Manejo, Seguro Decenal, Montaje y Rotura de Maquinaria, Navegación, Responsabilidad Civil, Sustracción, Terremoto, Todo Riesgo para Contratista, Transporte, Hogar, Minas y Petróleos.</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04DE323"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Accidentes, Salud, Vida Grupo</w:t>
            </w:r>
          </w:p>
        </w:tc>
      </w:tr>
      <w:tr w:rsidR="00A30C63" w:rsidRPr="005F2C03" w14:paraId="254E0414"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0AB84FA0" w14:textId="77777777" w:rsidR="00A30C63" w:rsidRPr="005F2C03" w:rsidRDefault="00A30C63">
            <w:pPr>
              <w:jc w:val="center"/>
              <w:rPr>
                <w:rFonts w:cs="Arial"/>
                <w:noProof/>
                <w:sz w:val="20"/>
              </w:rPr>
            </w:pPr>
            <w:r w:rsidRPr="005F2C03">
              <w:rPr>
                <w:rFonts w:cs="Arial"/>
                <w:noProof/>
                <w:sz w:val="20"/>
              </w:rPr>
              <w:lastRenderedPageBreak/>
              <w:t>28</w:t>
            </w:r>
          </w:p>
        </w:tc>
        <w:tc>
          <w:tcPr>
            <w:tcW w:w="2173" w:type="pct"/>
            <w:tcBorders>
              <w:top w:val="single" w:sz="4" w:space="0" w:color="auto"/>
              <w:left w:val="single" w:sz="4" w:space="0" w:color="auto"/>
              <w:bottom w:val="single" w:sz="4" w:space="0" w:color="auto"/>
              <w:right w:val="single" w:sz="4" w:space="0" w:color="auto"/>
            </w:tcBorders>
            <w:vAlign w:val="center"/>
          </w:tcPr>
          <w:p w14:paraId="5BD35835" w14:textId="77777777" w:rsidR="00A30C63" w:rsidRPr="005F2C03" w:rsidRDefault="00A30C63">
            <w:pPr>
              <w:jc w:val="center"/>
              <w:rPr>
                <w:rFonts w:cs="Arial"/>
                <w:noProof/>
                <w:sz w:val="20"/>
              </w:rPr>
            </w:pPr>
          </w:p>
          <w:p w14:paraId="55EBD41A" w14:textId="2BB9516C" w:rsidR="00A30C63" w:rsidRPr="005F2C03" w:rsidRDefault="00A30C63">
            <w:pPr>
              <w:jc w:val="center"/>
              <w:rPr>
                <w:rFonts w:cs="Arial"/>
                <w:noProof/>
                <w:sz w:val="20"/>
              </w:rPr>
            </w:pPr>
            <w:r w:rsidRPr="005F2C03">
              <w:rPr>
                <w:rFonts w:cs="Arial"/>
                <w:noProof/>
                <w:sz w:val="20"/>
              </w:rPr>
              <w:drawing>
                <wp:inline distT="0" distB="0" distL="0" distR="0" wp14:anchorId="6B7808CB" wp14:editId="7DB88AFF">
                  <wp:extent cx="1112520" cy="286385"/>
                  <wp:effectExtent l="0" t="0" r="0" b="0"/>
                  <wp:docPr id="1058314954" name="Imagen 2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Texto&#10;&#10;Descripción generada automáticamente con confianza baja"/>
                          <pic:cNvPicPr>
                            <a:picLocks noChangeAspect="1" noChangeArrowheads="1"/>
                          </pic:cNvPicPr>
                        </pic:nvPicPr>
                        <pic:blipFill>
                          <a:blip r:embed="rId51">
                            <a:extLst>
                              <a:ext uri="{28A0092B-C50C-407E-A947-70E740481C1C}">
                                <a14:useLocalDpi xmlns:a14="http://schemas.microsoft.com/office/drawing/2010/main" val="0"/>
                              </a:ext>
                            </a:extLst>
                          </a:blip>
                          <a:srcRect t="28873" b="29872"/>
                          <a:stretch>
                            <a:fillRect/>
                          </a:stretch>
                        </pic:blipFill>
                        <pic:spPr bwMode="auto">
                          <a:xfrm>
                            <a:off x="0" y="0"/>
                            <a:ext cx="1112520" cy="286385"/>
                          </a:xfrm>
                          <a:prstGeom prst="rect">
                            <a:avLst/>
                          </a:prstGeom>
                          <a:noFill/>
                          <a:ln>
                            <a:noFill/>
                          </a:ln>
                        </pic:spPr>
                      </pic:pic>
                    </a:graphicData>
                  </a:graphic>
                </wp:inline>
              </w:drawing>
            </w:r>
          </w:p>
          <w:p w14:paraId="5334C408" w14:textId="77777777" w:rsidR="00A30C63" w:rsidRPr="005F2C03" w:rsidRDefault="00A30C63">
            <w:pPr>
              <w:jc w:val="center"/>
              <w:rPr>
                <w:rFonts w:cs="Arial"/>
                <w:noProof/>
                <w:sz w:val="20"/>
              </w:rPr>
            </w:pPr>
            <w:r w:rsidRPr="005F2C03">
              <w:rPr>
                <w:rFonts w:cs="Arial"/>
                <w:noProof/>
                <w:sz w:val="20"/>
              </w:rPr>
              <w:t>SEGUROS ALFA</w:t>
            </w:r>
          </w:p>
          <w:p w14:paraId="2A5157E6" w14:textId="77777777" w:rsidR="00A30C63" w:rsidRPr="005F2C03" w:rsidRDefault="00A30C63">
            <w:pPr>
              <w:jc w:val="center"/>
              <w:rPr>
                <w:rFonts w:cs="Arial"/>
                <w:noProof/>
                <w:sz w:val="20"/>
              </w:rPr>
            </w:pPr>
          </w:p>
          <w:p w14:paraId="0DA5E91A" w14:textId="77777777" w:rsidR="00A30C63" w:rsidRPr="005F2C03" w:rsidRDefault="00A30C63">
            <w:pPr>
              <w:jc w:val="center"/>
              <w:rPr>
                <w:rFonts w:cs="Arial"/>
                <w:noProof/>
                <w:sz w:val="20"/>
              </w:rPr>
            </w:pPr>
            <w:r w:rsidRPr="005F2C03">
              <w:rPr>
                <w:rFonts w:cs="Arial"/>
                <w:noProof/>
                <w:sz w:val="20"/>
              </w:rPr>
              <w:t>Ciudad: Bogotá</w:t>
            </w:r>
          </w:p>
          <w:p w14:paraId="30EC360E" w14:textId="77777777" w:rsidR="00A30C63" w:rsidRPr="005F2C03" w:rsidRDefault="00A30C63">
            <w:pPr>
              <w:jc w:val="center"/>
              <w:rPr>
                <w:rFonts w:cs="Arial"/>
                <w:noProof/>
                <w:sz w:val="20"/>
              </w:rPr>
            </w:pPr>
            <w:r w:rsidRPr="005F2C03">
              <w:rPr>
                <w:rFonts w:cs="Arial"/>
                <w:noProof/>
                <w:sz w:val="20"/>
              </w:rPr>
              <w:t>Dirección general: Avenida Calle 24A No.59 – 42, Torre 4, Piso 4.</w:t>
            </w:r>
          </w:p>
          <w:p w14:paraId="70E285FC" w14:textId="77777777" w:rsidR="00A30C63" w:rsidRPr="005F2C03" w:rsidRDefault="00A30C63">
            <w:pPr>
              <w:jc w:val="center"/>
              <w:rPr>
                <w:rFonts w:cs="Arial"/>
                <w:noProof/>
                <w:sz w:val="20"/>
              </w:rPr>
            </w:pPr>
            <w:r w:rsidRPr="005F2C03">
              <w:rPr>
                <w:rFonts w:cs="Arial"/>
                <w:noProof/>
                <w:sz w:val="20"/>
              </w:rPr>
              <w:t>Seguros de Vida Alfa S.A.  Nit: 860.503.617-3</w:t>
            </w:r>
          </w:p>
          <w:p w14:paraId="3D3AF8A7" w14:textId="77777777" w:rsidR="00A30C63" w:rsidRPr="005F2C03" w:rsidRDefault="00A30C63">
            <w:pPr>
              <w:jc w:val="center"/>
              <w:rPr>
                <w:rFonts w:cs="Arial"/>
                <w:noProof/>
                <w:sz w:val="20"/>
              </w:rPr>
            </w:pPr>
            <w:r w:rsidRPr="005F2C03">
              <w:rPr>
                <w:rFonts w:cs="Arial"/>
                <w:noProof/>
                <w:sz w:val="20"/>
              </w:rPr>
              <w:t>Seguros Alfa S.A. Nit: 860.031.979-8</w:t>
            </w:r>
          </w:p>
        </w:tc>
        <w:tc>
          <w:tcPr>
            <w:tcW w:w="1524" w:type="pct"/>
            <w:tcBorders>
              <w:top w:val="single" w:sz="4" w:space="0" w:color="auto"/>
              <w:left w:val="single" w:sz="4" w:space="0" w:color="auto"/>
              <w:bottom w:val="single" w:sz="4" w:space="0" w:color="auto"/>
              <w:right w:val="single" w:sz="4" w:space="0" w:color="auto"/>
            </w:tcBorders>
            <w:vAlign w:val="center"/>
          </w:tcPr>
          <w:p w14:paraId="1A61EBEC"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Automóviles, Corriente Débil, Cumplimiento, Incendio, Lucro Cesante, Manejo, Montaje y Rotura de Maquinaria, Responsabilidad Civil, Sustracción, Terremoto, Todo Riesgo para Contratistas, Seguro Decenal, Transportes, Vidrios, Aviación, Navegación y Casco, Desempleo.</w:t>
            </w:r>
          </w:p>
          <w:p w14:paraId="39A47AA0"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7601274F"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Accidentes Personales, Colectivo de Vida, Vida Grupo, Vida Individual, Seguros Previsionales de Invalidez y Sobrevivencia, Seguros de Pensiones Ley 100, Riesgos Profesionales y Seguro de Salud</w:t>
            </w:r>
          </w:p>
        </w:tc>
      </w:tr>
      <w:tr w:rsidR="00A30C63" w:rsidRPr="005F2C03" w14:paraId="537F56F0"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3CFF28D7" w14:textId="77777777" w:rsidR="00A30C63" w:rsidRPr="005F2C03" w:rsidRDefault="00A30C63">
            <w:pPr>
              <w:jc w:val="center"/>
              <w:rPr>
                <w:rFonts w:cs="Arial"/>
                <w:noProof/>
                <w:sz w:val="20"/>
              </w:rPr>
            </w:pPr>
            <w:r w:rsidRPr="005F2C03">
              <w:rPr>
                <w:rFonts w:cs="Arial"/>
                <w:noProof/>
                <w:sz w:val="20"/>
              </w:rPr>
              <w:t>29</w:t>
            </w:r>
          </w:p>
        </w:tc>
        <w:tc>
          <w:tcPr>
            <w:tcW w:w="2173" w:type="pct"/>
            <w:tcBorders>
              <w:top w:val="single" w:sz="4" w:space="0" w:color="auto"/>
              <w:left w:val="single" w:sz="4" w:space="0" w:color="auto"/>
              <w:bottom w:val="single" w:sz="4" w:space="0" w:color="auto"/>
              <w:right w:val="single" w:sz="4" w:space="0" w:color="auto"/>
            </w:tcBorders>
            <w:vAlign w:val="center"/>
          </w:tcPr>
          <w:p w14:paraId="23CE9514" w14:textId="77777777" w:rsidR="00A30C63" w:rsidRPr="005F2C03" w:rsidRDefault="00A30C63">
            <w:pPr>
              <w:jc w:val="center"/>
              <w:rPr>
                <w:rFonts w:cs="Arial"/>
                <w:noProof/>
                <w:sz w:val="20"/>
              </w:rPr>
            </w:pPr>
          </w:p>
          <w:p w14:paraId="4739D2FE" w14:textId="0E68557E" w:rsidR="00A30C63" w:rsidRPr="005F2C03" w:rsidRDefault="00A30C63">
            <w:pPr>
              <w:jc w:val="center"/>
              <w:rPr>
                <w:rFonts w:cs="Arial"/>
                <w:noProof/>
                <w:sz w:val="20"/>
              </w:rPr>
            </w:pPr>
            <w:r w:rsidRPr="005F2C03">
              <w:rPr>
                <w:rFonts w:cs="Arial"/>
                <w:noProof/>
                <w:sz w:val="20"/>
              </w:rPr>
              <w:drawing>
                <wp:inline distT="0" distB="0" distL="0" distR="0" wp14:anchorId="76F6397F" wp14:editId="797EBEBD">
                  <wp:extent cx="1351280" cy="436880"/>
                  <wp:effectExtent l="0" t="0" r="1270" b="1270"/>
                  <wp:docPr id="499850867" name="Imagen 1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tipo, nombre de la empresa&#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t="18988" b="22762"/>
                          <a:stretch>
                            <a:fillRect/>
                          </a:stretch>
                        </pic:blipFill>
                        <pic:spPr bwMode="auto">
                          <a:xfrm>
                            <a:off x="0" y="0"/>
                            <a:ext cx="1351280" cy="436880"/>
                          </a:xfrm>
                          <a:prstGeom prst="rect">
                            <a:avLst/>
                          </a:prstGeom>
                          <a:noFill/>
                          <a:ln>
                            <a:noFill/>
                          </a:ln>
                        </pic:spPr>
                      </pic:pic>
                    </a:graphicData>
                  </a:graphic>
                </wp:inline>
              </w:drawing>
            </w:r>
          </w:p>
          <w:p w14:paraId="106032FE" w14:textId="77777777" w:rsidR="00A30C63" w:rsidRPr="005F2C03" w:rsidRDefault="00A30C63">
            <w:pPr>
              <w:jc w:val="center"/>
              <w:rPr>
                <w:rFonts w:cs="Arial"/>
                <w:noProof/>
                <w:sz w:val="20"/>
              </w:rPr>
            </w:pPr>
            <w:r w:rsidRPr="005F2C03">
              <w:rPr>
                <w:rFonts w:cs="Arial"/>
                <w:noProof/>
                <w:sz w:val="20"/>
              </w:rPr>
              <w:t>SEGUROS BOLÍVAR S.A.</w:t>
            </w:r>
          </w:p>
          <w:p w14:paraId="5590F025" w14:textId="77777777" w:rsidR="00A30C63" w:rsidRPr="005F2C03" w:rsidRDefault="00A30C63">
            <w:pPr>
              <w:jc w:val="center"/>
              <w:rPr>
                <w:rFonts w:cs="Arial"/>
                <w:noProof/>
                <w:sz w:val="20"/>
              </w:rPr>
            </w:pPr>
          </w:p>
          <w:p w14:paraId="3459AC49" w14:textId="77777777" w:rsidR="00A30C63" w:rsidRPr="005F2C03" w:rsidRDefault="00A30C63">
            <w:pPr>
              <w:jc w:val="center"/>
              <w:rPr>
                <w:rFonts w:cs="Arial"/>
                <w:noProof/>
                <w:sz w:val="20"/>
              </w:rPr>
            </w:pPr>
            <w:r w:rsidRPr="005F2C03">
              <w:rPr>
                <w:rFonts w:cs="Arial"/>
                <w:noProof/>
                <w:sz w:val="20"/>
              </w:rPr>
              <w:t>Avenida el Dorado N.° 68B-31 piso 10</w:t>
            </w:r>
          </w:p>
          <w:p w14:paraId="6F33351F" w14:textId="77777777" w:rsidR="00A30C63" w:rsidRPr="005F2C03" w:rsidRDefault="00A30C63">
            <w:pPr>
              <w:jc w:val="center"/>
              <w:rPr>
                <w:rFonts w:cs="Arial"/>
                <w:noProof/>
                <w:sz w:val="20"/>
              </w:rPr>
            </w:pPr>
            <w:r w:rsidRPr="005F2C03">
              <w:rPr>
                <w:rFonts w:cs="Arial"/>
                <w:noProof/>
                <w:sz w:val="20"/>
              </w:rPr>
              <w:t>Bogotá, D.C., Colombia</w:t>
            </w:r>
          </w:p>
          <w:p w14:paraId="1A89E6D7" w14:textId="77777777" w:rsidR="00A30C63" w:rsidRPr="005F2C03" w:rsidRDefault="00A30C63">
            <w:pPr>
              <w:jc w:val="center"/>
              <w:rPr>
                <w:rFonts w:cs="Arial"/>
                <w:noProof/>
                <w:sz w:val="20"/>
              </w:rPr>
            </w:pPr>
            <w:r w:rsidRPr="005F2C03">
              <w:rPr>
                <w:rFonts w:cs="Arial"/>
                <w:noProof/>
                <w:sz w:val="20"/>
              </w:rPr>
              <w:t>Apartado Postal: 4421 y 6406</w:t>
            </w:r>
          </w:p>
          <w:p w14:paraId="37699442" w14:textId="77777777" w:rsidR="00A30C63" w:rsidRPr="005F2C03" w:rsidRDefault="00A30C63">
            <w:pPr>
              <w:jc w:val="center"/>
              <w:rPr>
                <w:rFonts w:cs="Arial"/>
                <w:noProof/>
                <w:sz w:val="20"/>
              </w:rPr>
            </w:pPr>
            <w:r w:rsidRPr="005F2C03">
              <w:rPr>
                <w:rFonts w:cs="Arial"/>
                <w:noProof/>
                <w:sz w:val="20"/>
              </w:rPr>
              <w:t>Fax: 2201514</w:t>
            </w:r>
          </w:p>
          <w:p w14:paraId="68696CC2" w14:textId="77777777" w:rsidR="00A30C63" w:rsidRPr="005F2C03" w:rsidRDefault="00A30C63">
            <w:pPr>
              <w:jc w:val="center"/>
              <w:rPr>
                <w:rFonts w:cs="Arial"/>
                <w:noProof/>
                <w:sz w:val="20"/>
              </w:rPr>
            </w:pPr>
          </w:p>
          <w:p w14:paraId="2F7E44F1" w14:textId="77777777" w:rsidR="00A30C63" w:rsidRPr="005F2C03" w:rsidRDefault="00A30C63">
            <w:pPr>
              <w:jc w:val="center"/>
              <w:rPr>
                <w:rFonts w:cs="Arial"/>
                <w:noProof/>
                <w:sz w:val="20"/>
              </w:rPr>
            </w:pPr>
            <w:r w:rsidRPr="005F2C03">
              <w:rPr>
                <w:rFonts w:cs="Arial"/>
                <w:noProof/>
                <w:sz w:val="20"/>
              </w:rPr>
              <w:t>COMPAÑÍA DE SEGUROS BOLÍVAR S.A.</w:t>
            </w:r>
          </w:p>
          <w:p w14:paraId="1A278BB3" w14:textId="77777777" w:rsidR="00A30C63" w:rsidRPr="005F2C03" w:rsidRDefault="00A30C63">
            <w:pPr>
              <w:jc w:val="center"/>
              <w:rPr>
                <w:rFonts w:cs="Arial"/>
                <w:noProof/>
                <w:sz w:val="20"/>
              </w:rPr>
            </w:pPr>
            <w:r w:rsidRPr="005F2C03">
              <w:rPr>
                <w:rFonts w:cs="Arial"/>
                <w:noProof/>
                <w:sz w:val="20"/>
              </w:rPr>
              <w:t>Nit: 860.002.503-2</w:t>
            </w:r>
          </w:p>
          <w:p w14:paraId="7A2703B4" w14:textId="77777777" w:rsidR="00A30C63" w:rsidRPr="005F2C03" w:rsidRDefault="00A30C63">
            <w:pPr>
              <w:jc w:val="center"/>
              <w:rPr>
                <w:rFonts w:cs="Arial"/>
                <w:noProof/>
                <w:sz w:val="20"/>
              </w:rPr>
            </w:pPr>
            <w:r w:rsidRPr="005F2C03">
              <w:rPr>
                <w:rFonts w:cs="Arial"/>
                <w:noProof/>
                <w:sz w:val="20"/>
              </w:rPr>
              <w:t>SEGUROS COMERCIALES BOLÍVAR S.A.</w:t>
            </w:r>
          </w:p>
          <w:p w14:paraId="45C5FAA4" w14:textId="77777777" w:rsidR="00A30C63" w:rsidRPr="005F2C03" w:rsidRDefault="00A30C63">
            <w:pPr>
              <w:jc w:val="center"/>
              <w:rPr>
                <w:rFonts w:cs="Arial"/>
                <w:noProof/>
                <w:sz w:val="20"/>
              </w:rPr>
            </w:pPr>
            <w:r w:rsidRPr="005F2C03">
              <w:rPr>
                <w:rFonts w:cs="Arial"/>
                <w:noProof/>
                <w:sz w:val="20"/>
              </w:rPr>
              <w:t>Nit: 860.002.180-7</w:t>
            </w:r>
          </w:p>
        </w:tc>
        <w:tc>
          <w:tcPr>
            <w:tcW w:w="1524" w:type="pct"/>
            <w:tcBorders>
              <w:top w:val="single" w:sz="4" w:space="0" w:color="auto"/>
              <w:left w:val="single" w:sz="4" w:space="0" w:color="auto"/>
              <w:bottom w:val="single" w:sz="4" w:space="0" w:color="auto"/>
              <w:right w:val="single" w:sz="4" w:space="0" w:color="auto"/>
            </w:tcBorders>
            <w:vAlign w:val="center"/>
            <w:hideMark/>
          </w:tcPr>
          <w:p w14:paraId="572D2EEF" w14:textId="77777777" w:rsidR="00A30C63" w:rsidRPr="005F2C03" w:rsidRDefault="00A30C63">
            <w:pPr>
              <w:spacing w:after="160"/>
              <w:jc w:val="center"/>
              <w:rPr>
                <w:rFonts w:cs="Arial"/>
                <w:color w:val="000000"/>
                <w:sz w:val="20"/>
                <w:shd w:val="clear" w:color="auto" w:fill="FCFCFC"/>
              </w:rPr>
            </w:pPr>
            <w:r w:rsidRPr="005F2C03">
              <w:rPr>
                <w:rFonts w:cs="Arial"/>
                <w:color w:val="000000"/>
                <w:sz w:val="20"/>
                <w:shd w:val="clear" w:color="auto" w:fill="FCFCFC"/>
              </w:rPr>
              <w:t>Educativo, Automóviles, Aviación, Corriente Débil, Cumplimiento, Incendio, Hogar, Lucro Cesante, Manejo, Seguro Decenal, Montaje y Rotura de Maquinaria, Navegación y Casco, Responsabilidad Civil, Minas y Petróleos, Semovientes, Sustracción, Terremoto, Todo Riesgo para Contratistas, Transportes y Vidrios, Agrícolas, Cumplimiento.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B6E59FE"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Accidentes Personales, Colectivo de Vida, Vida Grupo, Pensionales de Jubilación, Salud, Vida Individual, Seguros Provisionales de Invalidez y Sobrevivencia, Pensionales Ley 100, Riesgos Profesionales, Pensiones con Conmutación Pensional, Accidentes Personales, Exequias, SOAT</w:t>
            </w:r>
          </w:p>
        </w:tc>
      </w:tr>
      <w:tr w:rsidR="00A30C63" w:rsidRPr="005F2C03" w14:paraId="677C6973"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57372428" w14:textId="77777777" w:rsidR="00A30C63" w:rsidRPr="005F2C03" w:rsidRDefault="00A30C63">
            <w:pPr>
              <w:jc w:val="center"/>
              <w:rPr>
                <w:rFonts w:cs="Arial"/>
                <w:noProof/>
                <w:sz w:val="20"/>
              </w:rPr>
            </w:pPr>
            <w:r w:rsidRPr="005F2C03">
              <w:rPr>
                <w:rFonts w:cs="Arial"/>
                <w:noProof/>
                <w:sz w:val="20"/>
              </w:rPr>
              <w:t>30</w:t>
            </w:r>
          </w:p>
        </w:tc>
        <w:tc>
          <w:tcPr>
            <w:tcW w:w="2173" w:type="pct"/>
            <w:tcBorders>
              <w:top w:val="single" w:sz="4" w:space="0" w:color="auto"/>
              <w:left w:val="single" w:sz="4" w:space="0" w:color="auto"/>
              <w:bottom w:val="single" w:sz="4" w:space="0" w:color="auto"/>
              <w:right w:val="single" w:sz="4" w:space="0" w:color="auto"/>
            </w:tcBorders>
            <w:vAlign w:val="center"/>
          </w:tcPr>
          <w:p w14:paraId="7972ECBE" w14:textId="2FFAD54F" w:rsidR="00A30C63" w:rsidRPr="005F2C03" w:rsidRDefault="00A30C63">
            <w:pPr>
              <w:jc w:val="center"/>
              <w:rPr>
                <w:rFonts w:cs="Arial"/>
                <w:noProof/>
                <w:sz w:val="20"/>
              </w:rPr>
            </w:pPr>
            <w:r w:rsidRPr="005F2C03">
              <w:rPr>
                <w:rFonts w:cs="Arial"/>
                <w:noProof/>
                <w:sz w:val="20"/>
              </w:rPr>
              <w:drawing>
                <wp:inline distT="0" distB="0" distL="0" distR="0" wp14:anchorId="5F08B0C0" wp14:editId="17DA6253">
                  <wp:extent cx="1282700" cy="409575"/>
                  <wp:effectExtent l="0" t="0" r="0" b="9525"/>
                  <wp:docPr id="2034714866"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que contiene Texto&#10;&#10;Descripción generada automáticamente"/>
                          <pic:cNvPicPr>
                            <a:picLocks noChangeAspect="1" noChangeArrowheads="1"/>
                          </pic:cNvPicPr>
                        </pic:nvPicPr>
                        <pic:blipFill>
                          <a:blip r:embed="rId53">
                            <a:extLst>
                              <a:ext uri="{28A0092B-C50C-407E-A947-70E740481C1C}">
                                <a14:useLocalDpi xmlns:a14="http://schemas.microsoft.com/office/drawing/2010/main" val="0"/>
                              </a:ext>
                            </a:extLst>
                          </a:blip>
                          <a:srcRect t="22221" b="24690"/>
                          <a:stretch>
                            <a:fillRect/>
                          </a:stretch>
                        </pic:blipFill>
                        <pic:spPr bwMode="auto">
                          <a:xfrm>
                            <a:off x="0" y="0"/>
                            <a:ext cx="1282700" cy="409575"/>
                          </a:xfrm>
                          <a:prstGeom prst="rect">
                            <a:avLst/>
                          </a:prstGeom>
                          <a:noFill/>
                          <a:ln>
                            <a:noFill/>
                          </a:ln>
                        </pic:spPr>
                      </pic:pic>
                    </a:graphicData>
                  </a:graphic>
                </wp:inline>
              </w:drawing>
            </w:r>
          </w:p>
          <w:p w14:paraId="48F12989" w14:textId="77777777" w:rsidR="00A30C63" w:rsidRPr="005F2C03" w:rsidRDefault="00A30C63">
            <w:pPr>
              <w:jc w:val="center"/>
              <w:rPr>
                <w:rFonts w:cs="Arial"/>
                <w:noProof/>
                <w:sz w:val="20"/>
              </w:rPr>
            </w:pPr>
            <w:r w:rsidRPr="005F2C03">
              <w:rPr>
                <w:rFonts w:cs="Arial"/>
                <w:noProof/>
                <w:sz w:val="20"/>
              </w:rPr>
              <w:t>SEGUROS DEL ESTADO S.A.</w:t>
            </w:r>
          </w:p>
          <w:p w14:paraId="66D357FD" w14:textId="77777777" w:rsidR="00A30C63" w:rsidRPr="005F2C03" w:rsidRDefault="00A30C63">
            <w:pPr>
              <w:jc w:val="center"/>
              <w:rPr>
                <w:rFonts w:cs="Arial"/>
                <w:noProof/>
                <w:sz w:val="20"/>
              </w:rPr>
            </w:pPr>
          </w:p>
          <w:p w14:paraId="54E38257" w14:textId="77777777" w:rsidR="00A30C63" w:rsidRPr="005F2C03" w:rsidRDefault="00A30C63">
            <w:pPr>
              <w:jc w:val="center"/>
              <w:rPr>
                <w:rFonts w:cs="Arial"/>
                <w:noProof/>
                <w:sz w:val="20"/>
              </w:rPr>
            </w:pPr>
            <w:r w:rsidRPr="005F2C03">
              <w:rPr>
                <w:rFonts w:cs="Arial"/>
                <w:noProof/>
                <w:sz w:val="20"/>
              </w:rPr>
              <w:t>Carrera 11 No. 90-20</w:t>
            </w:r>
          </w:p>
          <w:p w14:paraId="370C1FFE" w14:textId="77777777" w:rsidR="00A30C63" w:rsidRPr="005F2C03" w:rsidRDefault="00A30C63">
            <w:pPr>
              <w:jc w:val="center"/>
              <w:rPr>
                <w:rFonts w:cs="Arial"/>
                <w:noProof/>
                <w:sz w:val="20"/>
              </w:rPr>
            </w:pPr>
            <w:r w:rsidRPr="005F2C03">
              <w:rPr>
                <w:rFonts w:cs="Arial"/>
                <w:noProof/>
                <w:sz w:val="20"/>
              </w:rPr>
              <w:t>Bogotá, D.C., Colombia</w:t>
            </w:r>
          </w:p>
          <w:p w14:paraId="67342BB0" w14:textId="77777777" w:rsidR="00A30C63" w:rsidRPr="005F2C03" w:rsidRDefault="00A30C63">
            <w:pPr>
              <w:jc w:val="center"/>
              <w:rPr>
                <w:rFonts w:cs="Arial"/>
                <w:noProof/>
                <w:sz w:val="20"/>
              </w:rPr>
            </w:pPr>
            <w:r w:rsidRPr="005F2C03">
              <w:rPr>
                <w:rFonts w:cs="Arial"/>
                <w:noProof/>
                <w:sz w:val="20"/>
              </w:rPr>
              <w:t>PBX: 218 69 77 - 6019330</w:t>
            </w:r>
          </w:p>
          <w:p w14:paraId="577CE5AA" w14:textId="77777777" w:rsidR="00A30C63" w:rsidRPr="005F2C03" w:rsidRDefault="00A30C63">
            <w:pPr>
              <w:jc w:val="center"/>
              <w:rPr>
                <w:rFonts w:cs="Arial"/>
                <w:noProof/>
                <w:sz w:val="20"/>
              </w:rPr>
            </w:pPr>
            <w:r w:rsidRPr="005F2C03">
              <w:rPr>
                <w:rFonts w:cs="Arial"/>
                <w:noProof/>
                <w:sz w:val="20"/>
              </w:rPr>
              <w:t>Fax: 651 12 40</w:t>
            </w:r>
          </w:p>
          <w:p w14:paraId="6D8385B8" w14:textId="77777777" w:rsidR="00A30C63" w:rsidRPr="005F2C03" w:rsidRDefault="00A30C63">
            <w:pPr>
              <w:jc w:val="center"/>
              <w:rPr>
                <w:rFonts w:cs="Arial"/>
                <w:noProof/>
                <w:sz w:val="20"/>
              </w:rPr>
            </w:pPr>
          </w:p>
          <w:p w14:paraId="69ADD150" w14:textId="77777777" w:rsidR="00A30C63" w:rsidRPr="005F2C03" w:rsidRDefault="00A30C63">
            <w:pPr>
              <w:jc w:val="center"/>
              <w:rPr>
                <w:rFonts w:cs="Arial"/>
                <w:noProof/>
                <w:sz w:val="20"/>
              </w:rPr>
            </w:pPr>
            <w:r w:rsidRPr="005F2C03">
              <w:rPr>
                <w:rFonts w:cs="Arial"/>
                <w:noProof/>
                <w:sz w:val="20"/>
              </w:rPr>
              <w:t>SEGUROS DE VIDA DEL ESTADO S.A.</w:t>
            </w:r>
          </w:p>
          <w:p w14:paraId="4C43D270" w14:textId="77777777" w:rsidR="00A30C63" w:rsidRPr="005F2C03" w:rsidRDefault="00A30C63">
            <w:pPr>
              <w:jc w:val="center"/>
              <w:rPr>
                <w:rFonts w:cs="Arial"/>
                <w:noProof/>
                <w:sz w:val="20"/>
              </w:rPr>
            </w:pPr>
            <w:r w:rsidRPr="005F2C03">
              <w:rPr>
                <w:rFonts w:cs="Arial"/>
                <w:noProof/>
                <w:sz w:val="20"/>
              </w:rPr>
              <w:t>NIT: 860.009.174-4</w:t>
            </w:r>
          </w:p>
        </w:tc>
        <w:tc>
          <w:tcPr>
            <w:tcW w:w="1524" w:type="pct"/>
            <w:tcBorders>
              <w:top w:val="single" w:sz="4" w:space="0" w:color="auto"/>
              <w:left w:val="single" w:sz="4" w:space="0" w:color="auto"/>
              <w:bottom w:val="single" w:sz="4" w:space="0" w:color="auto"/>
              <w:right w:val="single" w:sz="4" w:space="0" w:color="auto"/>
            </w:tcBorders>
            <w:vAlign w:val="center"/>
          </w:tcPr>
          <w:p w14:paraId="60ECED80"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Automóviles, Corriente Débil, Cumplimiento, Incendio, Lucro Cesante, Manejo, Montaje y Rotura de Maquinaria Responsabilidad Civil, Seguro Obligatorio de Accidentes de Tránsito, Sustracción, Terremoto, Todo Riesgo para Contratista, Transporte y Vidrios.</w:t>
            </w:r>
          </w:p>
          <w:p w14:paraId="7C602708" w14:textId="77777777" w:rsidR="00A30C63" w:rsidRPr="005F2C03" w:rsidRDefault="00A30C63">
            <w:pPr>
              <w:jc w:val="center"/>
              <w:rPr>
                <w:rFonts w:cs="Arial"/>
                <w:color w:val="000000"/>
                <w:sz w:val="20"/>
                <w:shd w:val="clear" w:color="auto" w:fill="FCFCFC"/>
              </w:rPr>
            </w:pPr>
          </w:p>
        </w:tc>
        <w:tc>
          <w:tcPr>
            <w:tcW w:w="1036" w:type="pct"/>
            <w:tcBorders>
              <w:top w:val="single" w:sz="4" w:space="0" w:color="auto"/>
              <w:left w:val="single" w:sz="4" w:space="0" w:color="auto"/>
              <w:bottom w:val="single" w:sz="4" w:space="0" w:color="auto"/>
              <w:right w:val="single" w:sz="4" w:space="0" w:color="auto"/>
            </w:tcBorders>
            <w:vAlign w:val="center"/>
          </w:tcPr>
          <w:p w14:paraId="0FC64E74" w14:textId="77777777" w:rsidR="00A30C63" w:rsidRPr="005F2C03" w:rsidRDefault="00A30C63">
            <w:pPr>
              <w:jc w:val="center"/>
              <w:rPr>
                <w:rFonts w:cs="Arial"/>
                <w:color w:val="000000"/>
                <w:sz w:val="20"/>
                <w:shd w:val="clear" w:color="auto" w:fill="FCFCFC"/>
              </w:rPr>
            </w:pPr>
            <w:r w:rsidRPr="005F2C03">
              <w:rPr>
                <w:rFonts w:cs="Arial"/>
                <w:color w:val="000000"/>
                <w:sz w:val="20"/>
                <w:shd w:val="clear" w:color="auto" w:fill="FCFCFC"/>
              </w:rPr>
              <w:t>Accidentes Personales, Colectivo de Vida, Vida Grupo, Salud y Vida Individual.</w:t>
            </w:r>
          </w:p>
          <w:p w14:paraId="45BC6506" w14:textId="77777777" w:rsidR="00A30C63" w:rsidRPr="005F2C03" w:rsidRDefault="00A30C63">
            <w:pPr>
              <w:jc w:val="center"/>
              <w:rPr>
                <w:rFonts w:cs="Arial"/>
                <w:color w:val="000000"/>
                <w:sz w:val="20"/>
                <w:shd w:val="clear" w:color="auto" w:fill="FCFCFC"/>
              </w:rPr>
            </w:pPr>
          </w:p>
        </w:tc>
      </w:tr>
      <w:tr w:rsidR="00A30C63" w:rsidRPr="005F2C03" w14:paraId="3666B6D0"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2AE64B8D" w14:textId="77777777" w:rsidR="00A30C63" w:rsidRPr="005F2C03" w:rsidRDefault="00A30C63">
            <w:pPr>
              <w:jc w:val="center"/>
              <w:rPr>
                <w:rFonts w:cs="Arial"/>
                <w:noProof/>
                <w:sz w:val="20"/>
              </w:rPr>
            </w:pPr>
            <w:r w:rsidRPr="005F2C03">
              <w:rPr>
                <w:rFonts w:cs="Arial"/>
                <w:noProof/>
                <w:sz w:val="20"/>
              </w:rPr>
              <w:lastRenderedPageBreak/>
              <w:t>31</w:t>
            </w:r>
          </w:p>
        </w:tc>
        <w:tc>
          <w:tcPr>
            <w:tcW w:w="2173" w:type="pct"/>
            <w:tcBorders>
              <w:top w:val="single" w:sz="4" w:space="0" w:color="auto"/>
              <w:left w:val="single" w:sz="4" w:space="0" w:color="auto"/>
              <w:bottom w:val="single" w:sz="4" w:space="0" w:color="auto"/>
              <w:right w:val="single" w:sz="4" w:space="0" w:color="auto"/>
            </w:tcBorders>
            <w:vAlign w:val="center"/>
          </w:tcPr>
          <w:p w14:paraId="5FED33D7" w14:textId="6E8F5CC9" w:rsidR="00A30C63" w:rsidRPr="005F2C03" w:rsidRDefault="00A30C63">
            <w:pPr>
              <w:jc w:val="center"/>
              <w:rPr>
                <w:rFonts w:cs="Arial"/>
                <w:noProof/>
                <w:sz w:val="20"/>
              </w:rPr>
            </w:pPr>
            <w:r w:rsidRPr="005F2C03">
              <w:rPr>
                <w:rFonts w:cs="Arial"/>
                <w:noProof/>
                <w:sz w:val="20"/>
              </w:rPr>
              <w:drawing>
                <wp:inline distT="0" distB="0" distL="0" distR="0" wp14:anchorId="6B719A14" wp14:editId="09DFECE2">
                  <wp:extent cx="1412240" cy="607060"/>
                  <wp:effectExtent l="0" t="0" r="0" b="2540"/>
                  <wp:docPr id="1535173383" name="Imagen 1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nterfaz de usuario gráfica&#10;&#10;Descripción generada automáticamente con confianza media"/>
                          <pic:cNvPicPr>
                            <a:picLocks noChangeAspect="1" noChangeArrowheads="1"/>
                          </pic:cNvPicPr>
                        </pic:nvPicPr>
                        <pic:blipFill>
                          <a:blip r:embed="rId54">
                            <a:extLst>
                              <a:ext uri="{28A0092B-C50C-407E-A947-70E740481C1C}">
                                <a14:useLocalDpi xmlns:a14="http://schemas.microsoft.com/office/drawing/2010/main" val="0"/>
                              </a:ext>
                            </a:extLst>
                          </a:blip>
                          <a:srcRect t="13533" b="14285"/>
                          <a:stretch>
                            <a:fillRect/>
                          </a:stretch>
                        </pic:blipFill>
                        <pic:spPr bwMode="auto">
                          <a:xfrm>
                            <a:off x="0" y="0"/>
                            <a:ext cx="1412240" cy="607060"/>
                          </a:xfrm>
                          <a:prstGeom prst="rect">
                            <a:avLst/>
                          </a:prstGeom>
                          <a:noFill/>
                          <a:ln>
                            <a:noFill/>
                          </a:ln>
                        </pic:spPr>
                      </pic:pic>
                    </a:graphicData>
                  </a:graphic>
                </wp:inline>
              </w:drawing>
            </w:r>
          </w:p>
          <w:p w14:paraId="29EAB438" w14:textId="77777777" w:rsidR="00A30C63" w:rsidRPr="005F2C03" w:rsidRDefault="00A30C63">
            <w:pPr>
              <w:jc w:val="center"/>
              <w:rPr>
                <w:rFonts w:cs="Arial"/>
                <w:noProof/>
                <w:sz w:val="20"/>
              </w:rPr>
            </w:pPr>
            <w:r w:rsidRPr="005F2C03">
              <w:rPr>
                <w:rFonts w:cs="Arial"/>
                <w:noProof/>
                <w:sz w:val="20"/>
              </w:rPr>
              <w:t>COMPAÑÍA MUNDIAL DE SEGUROS S.A</w:t>
            </w:r>
          </w:p>
          <w:p w14:paraId="2C109E83" w14:textId="77777777" w:rsidR="00A30C63" w:rsidRPr="005F2C03" w:rsidRDefault="00A30C63">
            <w:pPr>
              <w:jc w:val="center"/>
              <w:rPr>
                <w:rFonts w:cs="Arial"/>
                <w:noProof/>
                <w:sz w:val="20"/>
              </w:rPr>
            </w:pPr>
          </w:p>
          <w:p w14:paraId="149DDD16" w14:textId="77777777" w:rsidR="00A30C63" w:rsidRPr="005F2C03" w:rsidRDefault="00A30C63">
            <w:pPr>
              <w:jc w:val="center"/>
              <w:rPr>
                <w:rFonts w:cs="Arial"/>
                <w:noProof/>
                <w:sz w:val="20"/>
              </w:rPr>
            </w:pPr>
            <w:r w:rsidRPr="005F2C03">
              <w:rPr>
                <w:rFonts w:cs="Arial"/>
                <w:noProof/>
                <w:sz w:val="20"/>
              </w:rPr>
              <w:t>Calle 33 No. 6 B-24 Pisos 1,2 ,3 y 4</w:t>
            </w:r>
          </w:p>
          <w:p w14:paraId="07375223" w14:textId="77777777" w:rsidR="00A30C63" w:rsidRPr="005F2C03" w:rsidRDefault="00A30C63">
            <w:pPr>
              <w:jc w:val="center"/>
              <w:rPr>
                <w:rFonts w:cs="Arial"/>
                <w:noProof/>
                <w:sz w:val="20"/>
              </w:rPr>
            </w:pPr>
            <w:r w:rsidRPr="005F2C03">
              <w:rPr>
                <w:rFonts w:cs="Arial"/>
                <w:noProof/>
                <w:sz w:val="20"/>
              </w:rPr>
              <w:t>Conmutador: 285 56 00 Fax: 285 12 20</w:t>
            </w:r>
          </w:p>
          <w:p w14:paraId="7056C494" w14:textId="77777777" w:rsidR="00A30C63" w:rsidRPr="005F2C03" w:rsidRDefault="00A30C63">
            <w:pPr>
              <w:jc w:val="center"/>
              <w:rPr>
                <w:rFonts w:cs="Arial"/>
                <w:noProof/>
                <w:sz w:val="20"/>
              </w:rPr>
            </w:pPr>
            <w:r w:rsidRPr="005F2C03">
              <w:rPr>
                <w:rFonts w:cs="Arial"/>
                <w:noProof/>
                <w:sz w:val="20"/>
              </w:rPr>
              <w:t>Bogotá, D.C., Colombia</w:t>
            </w:r>
          </w:p>
          <w:p w14:paraId="4BC066FD" w14:textId="77777777" w:rsidR="00A30C63" w:rsidRPr="005F2C03" w:rsidRDefault="00A30C63">
            <w:pPr>
              <w:jc w:val="center"/>
              <w:rPr>
                <w:rFonts w:cs="Arial"/>
                <w:noProof/>
                <w:sz w:val="20"/>
              </w:rPr>
            </w:pPr>
            <w:r w:rsidRPr="005F2C03">
              <w:rPr>
                <w:rFonts w:cs="Arial"/>
                <w:noProof/>
                <w:sz w:val="20"/>
              </w:rPr>
              <w:t>Apartado Postal : 30278</w:t>
            </w:r>
          </w:p>
        </w:tc>
        <w:tc>
          <w:tcPr>
            <w:tcW w:w="1524" w:type="pct"/>
            <w:tcBorders>
              <w:top w:val="single" w:sz="4" w:space="0" w:color="auto"/>
              <w:left w:val="single" w:sz="4" w:space="0" w:color="auto"/>
              <w:bottom w:val="single" w:sz="4" w:space="0" w:color="auto"/>
              <w:right w:val="single" w:sz="4" w:space="0" w:color="auto"/>
            </w:tcBorders>
            <w:vAlign w:val="center"/>
            <w:hideMark/>
          </w:tcPr>
          <w:p w14:paraId="2F3BD041" w14:textId="77777777" w:rsidR="00A30C63" w:rsidRPr="005F2C03" w:rsidRDefault="00A30C63">
            <w:pPr>
              <w:spacing w:after="160"/>
              <w:jc w:val="center"/>
              <w:rPr>
                <w:rFonts w:cs="Arial"/>
                <w:sz w:val="20"/>
              </w:rPr>
            </w:pPr>
            <w:r w:rsidRPr="005F2C03">
              <w:rPr>
                <w:rFonts w:cs="Arial"/>
                <w:sz w:val="20"/>
              </w:rPr>
              <w:t>Automóviles, Aviación, Cumplimiento, Desempleo, Responsabilidad Civil, Crédito Comercial y a la Exportación, Corriente Débil, Lucro Cesante, Manejo, Seguro Decenal, Montaje y Rotura de Maquinaria, Semovientes, Todo Riesgo Contratista, Transporte, Riesgos de Minas y Petróleos, Navegación y Casco.</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4B10703" w14:textId="77777777" w:rsidR="00A30C63" w:rsidRPr="005F2C03" w:rsidRDefault="00A30C63">
            <w:pPr>
              <w:jc w:val="center"/>
              <w:rPr>
                <w:rFonts w:cs="Arial"/>
                <w:sz w:val="20"/>
              </w:rPr>
            </w:pPr>
            <w:r w:rsidRPr="005F2C03">
              <w:rPr>
                <w:rFonts w:cs="Arial"/>
                <w:sz w:val="20"/>
              </w:rPr>
              <w:t>SOAT, Accidentes Personales, Colectivo Vida, Vida Grupo</w:t>
            </w:r>
          </w:p>
        </w:tc>
      </w:tr>
      <w:tr w:rsidR="00A30C63" w:rsidRPr="005F2C03" w14:paraId="32BAA951"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1D80104C" w14:textId="77777777" w:rsidR="00A30C63" w:rsidRPr="005F2C03" w:rsidRDefault="00A30C63">
            <w:pPr>
              <w:jc w:val="center"/>
              <w:rPr>
                <w:rFonts w:cs="Arial"/>
                <w:noProof/>
                <w:sz w:val="20"/>
              </w:rPr>
            </w:pPr>
            <w:r w:rsidRPr="005F2C03">
              <w:rPr>
                <w:rFonts w:cs="Arial"/>
                <w:noProof/>
                <w:sz w:val="20"/>
              </w:rPr>
              <w:t>32</w:t>
            </w:r>
          </w:p>
        </w:tc>
        <w:tc>
          <w:tcPr>
            <w:tcW w:w="2173" w:type="pct"/>
            <w:tcBorders>
              <w:top w:val="single" w:sz="4" w:space="0" w:color="auto"/>
              <w:left w:val="single" w:sz="4" w:space="0" w:color="auto"/>
              <w:bottom w:val="single" w:sz="4" w:space="0" w:color="auto"/>
              <w:right w:val="single" w:sz="4" w:space="0" w:color="auto"/>
            </w:tcBorders>
            <w:vAlign w:val="center"/>
          </w:tcPr>
          <w:p w14:paraId="54FDF911" w14:textId="60381690" w:rsidR="00A30C63" w:rsidRPr="005F2C03" w:rsidRDefault="00A30C63">
            <w:pPr>
              <w:jc w:val="center"/>
              <w:rPr>
                <w:rFonts w:cs="Arial"/>
                <w:noProof/>
                <w:sz w:val="20"/>
              </w:rPr>
            </w:pPr>
            <w:r w:rsidRPr="005F2C03">
              <w:rPr>
                <w:rFonts w:cs="Arial"/>
                <w:noProof/>
                <w:sz w:val="20"/>
              </w:rPr>
              <w:drawing>
                <wp:inline distT="0" distB="0" distL="0" distR="0" wp14:anchorId="0030D36D" wp14:editId="393FD0C0">
                  <wp:extent cx="1494155" cy="600710"/>
                  <wp:effectExtent l="0" t="0" r="0" b="8890"/>
                  <wp:docPr id="1549100291" name="Imagen 1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n que contiene Logotipo&#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t="12790" b="13947"/>
                          <a:stretch>
                            <a:fillRect/>
                          </a:stretch>
                        </pic:blipFill>
                        <pic:spPr bwMode="auto">
                          <a:xfrm>
                            <a:off x="0" y="0"/>
                            <a:ext cx="1494155" cy="600710"/>
                          </a:xfrm>
                          <a:prstGeom prst="rect">
                            <a:avLst/>
                          </a:prstGeom>
                          <a:noFill/>
                          <a:ln>
                            <a:noFill/>
                          </a:ln>
                        </pic:spPr>
                      </pic:pic>
                    </a:graphicData>
                  </a:graphic>
                </wp:inline>
              </w:drawing>
            </w:r>
          </w:p>
          <w:p w14:paraId="2E48E9A1" w14:textId="77777777" w:rsidR="00A30C63" w:rsidRPr="005F2C03" w:rsidRDefault="00A30C63">
            <w:pPr>
              <w:jc w:val="center"/>
              <w:rPr>
                <w:rFonts w:cs="Arial"/>
                <w:noProof/>
                <w:sz w:val="20"/>
              </w:rPr>
            </w:pPr>
            <w:r w:rsidRPr="005F2C03">
              <w:rPr>
                <w:rFonts w:cs="Arial"/>
                <w:noProof/>
                <w:sz w:val="20"/>
              </w:rPr>
              <w:t>SEGUREXPO DE COLOMBIA S.A.</w:t>
            </w:r>
          </w:p>
          <w:p w14:paraId="3E3780E8" w14:textId="77777777" w:rsidR="00A30C63" w:rsidRPr="005F2C03" w:rsidRDefault="00A30C63">
            <w:pPr>
              <w:jc w:val="center"/>
              <w:rPr>
                <w:rFonts w:cs="Arial"/>
                <w:noProof/>
                <w:sz w:val="20"/>
              </w:rPr>
            </w:pPr>
          </w:p>
          <w:p w14:paraId="72591FB1" w14:textId="77777777" w:rsidR="00A30C63" w:rsidRPr="005F2C03" w:rsidRDefault="00A30C63">
            <w:pPr>
              <w:jc w:val="center"/>
              <w:rPr>
                <w:rFonts w:cs="Arial"/>
                <w:noProof/>
                <w:sz w:val="20"/>
              </w:rPr>
            </w:pPr>
            <w:r w:rsidRPr="005F2C03">
              <w:rPr>
                <w:rFonts w:cs="Arial"/>
                <w:noProof/>
                <w:sz w:val="20"/>
              </w:rPr>
              <w:t>Calle 72 A No. 6-44 Piso 12 P.H.</w:t>
            </w:r>
          </w:p>
          <w:p w14:paraId="6021BA37" w14:textId="77777777" w:rsidR="00A30C63" w:rsidRPr="005F2C03" w:rsidRDefault="00A30C63">
            <w:pPr>
              <w:jc w:val="center"/>
              <w:rPr>
                <w:rFonts w:cs="Arial"/>
                <w:noProof/>
                <w:sz w:val="20"/>
              </w:rPr>
            </w:pPr>
            <w:r w:rsidRPr="005F2C03">
              <w:rPr>
                <w:rFonts w:cs="Arial"/>
                <w:noProof/>
                <w:sz w:val="20"/>
              </w:rPr>
              <w:t>Bogotá, D.C., Colombia</w:t>
            </w:r>
          </w:p>
          <w:p w14:paraId="08F1C5FF" w14:textId="77777777" w:rsidR="00A30C63" w:rsidRPr="005F2C03" w:rsidRDefault="00A30C63">
            <w:pPr>
              <w:jc w:val="center"/>
              <w:rPr>
                <w:rFonts w:cs="Arial"/>
                <w:noProof/>
                <w:sz w:val="20"/>
              </w:rPr>
            </w:pPr>
            <w:r w:rsidRPr="005F2C03">
              <w:rPr>
                <w:rFonts w:cs="Arial"/>
                <w:noProof/>
                <w:sz w:val="20"/>
              </w:rPr>
              <w:t>Apartado Postal: 75140</w:t>
            </w:r>
          </w:p>
          <w:p w14:paraId="3E457E56" w14:textId="77777777" w:rsidR="00A30C63" w:rsidRPr="005F2C03" w:rsidRDefault="00A30C63">
            <w:pPr>
              <w:jc w:val="center"/>
              <w:rPr>
                <w:rFonts w:cs="Arial"/>
                <w:noProof/>
                <w:sz w:val="20"/>
              </w:rPr>
            </w:pPr>
            <w:r w:rsidRPr="005F2C03">
              <w:rPr>
                <w:rFonts w:cs="Arial"/>
                <w:noProof/>
                <w:sz w:val="20"/>
              </w:rPr>
              <w:t>Fax: 211 02 18</w:t>
            </w:r>
          </w:p>
        </w:tc>
        <w:tc>
          <w:tcPr>
            <w:tcW w:w="1524" w:type="pct"/>
            <w:tcBorders>
              <w:top w:val="single" w:sz="4" w:space="0" w:color="auto"/>
              <w:left w:val="single" w:sz="4" w:space="0" w:color="auto"/>
              <w:bottom w:val="single" w:sz="4" w:space="0" w:color="auto"/>
              <w:right w:val="single" w:sz="4" w:space="0" w:color="auto"/>
            </w:tcBorders>
            <w:vAlign w:val="center"/>
          </w:tcPr>
          <w:p w14:paraId="0B0C73A6" w14:textId="77777777" w:rsidR="00A30C63" w:rsidRPr="005F2C03" w:rsidRDefault="00A30C63">
            <w:pPr>
              <w:jc w:val="center"/>
              <w:rPr>
                <w:rFonts w:cs="Arial"/>
                <w:sz w:val="20"/>
              </w:rPr>
            </w:pPr>
            <w:r w:rsidRPr="005F2C03">
              <w:rPr>
                <w:rFonts w:cs="Arial"/>
                <w:sz w:val="20"/>
              </w:rPr>
              <w:t>Seguro de Crédito a la Exportación y Riesgo Político, Seguro de Crédito Interno, Cumplimiento y Responsabilidad Civil.</w:t>
            </w:r>
          </w:p>
          <w:p w14:paraId="77BD68F0"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tcPr>
          <w:p w14:paraId="386FC3E3" w14:textId="77777777" w:rsidR="00A30C63" w:rsidRPr="005F2C03" w:rsidRDefault="00A30C63">
            <w:pPr>
              <w:jc w:val="center"/>
              <w:rPr>
                <w:rFonts w:cs="Arial"/>
                <w:sz w:val="20"/>
              </w:rPr>
            </w:pPr>
          </w:p>
        </w:tc>
      </w:tr>
      <w:tr w:rsidR="00A30C63" w:rsidRPr="005F2C03" w14:paraId="35A4C972"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3DFE57B3" w14:textId="77777777" w:rsidR="00A30C63" w:rsidRPr="005F2C03" w:rsidRDefault="00A30C63">
            <w:pPr>
              <w:jc w:val="center"/>
              <w:rPr>
                <w:rFonts w:cs="Arial"/>
                <w:noProof/>
                <w:sz w:val="20"/>
              </w:rPr>
            </w:pPr>
            <w:r w:rsidRPr="005F2C03">
              <w:rPr>
                <w:rFonts w:cs="Arial"/>
                <w:noProof/>
                <w:sz w:val="20"/>
              </w:rPr>
              <w:t>33</w:t>
            </w:r>
          </w:p>
        </w:tc>
        <w:tc>
          <w:tcPr>
            <w:tcW w:w="2173" w:type="pct"/>
            <w:tcBorders>
              <w:top w:val="single" w:sz="4" w:space="0" w:color="auto"/>
              <w:left w:val="single" w:sz="4" w:space="0" w:color="auto"/>
              <w:bottom w:val="single" w:sz="4" w:space="0" w:color="auto"/>
              <w:right w:val="single" w:sz="4" w:space="0" w:color="auto"/>
            </w:tcBorders>
            <w:vAlign w:val="center"/>
          </w:tcPr>
          <w:p w14:paraId="61774E9C" w14:textId="04CE6F71" w:rsidR="00A30C63" w:rsidRPr="005F2C03" w:rsidRDefault="00A30C63">
            <w:pPr>
              <w:jc w:val="center"/>
              <w:rPr>
                <w:rFonts w:cs="Arial"/>
                <w:noProof/>
                <w:sz w:val="20"/>
              </w:rPr>
            </w:pPr>
            <w:r w:rsidRPr="005F2C03">
              <w:rPr>
                <w:rFonts w:cs="Arial"/>
                <w:noProof/>
                <w:sz w:val="20"/>
              </w:rPr>
              <w:drawing>
                <wp:inline distT="0" distB="0" distL="0" distR="0" wp14:anchorId="6C2BAE46" wp14:editId="12634157">
                  <wp:extent cx="1153160" cy="450215"/>
                  <wp:effectExtent l="0" t="0" r="8890" b="6985"/>
                  <wp:docPr id="1789298360"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tipo&#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t="22330" b="15903"/>
                          <a:stretch>
                            <a:fillRect/>
                          </a:stretch>
                        </pic:blipFill>
                        <pic:spPr bwMode="auto">
                          <a:xfrm>
                            <a:off x="0" y="0"/>
                            <a:ext cx="1153160" cy="450215"/>
                          </a:xfrm>
                          <a:prstGeom prst="rect">
                            <a:avLst/>
                          </a:prstGeom>
                          <a:noFill/>
                          <a:ln>
                            <a:noFill/>
                          </a:ln>
                        </pic:spPr>
                      </pic:pic>
                    </a:graphicData>
                  </a:graphic>
                </wp:inline>
              </w:drawing>
            </w:r>
          </w:p>
          <w:p w14:paraId="390F95AF" w14:textId="77777777" w:rsidR="00A30C63" w:rsidRPr="005F2C03" w:rsidRDefault="00A30C63">
            <w:pPr>
              <w:jc w:val="center"/>
              <w:rPr>
                <w:rFonts w:cs="Arial"/>
                <w:noProof/>
                <w:sz w:val="20"/>
              </w:rPr>
            </w:pPr>
            <w:r w:rsidRPr="005F2C03">
              <w:rPr>
                <w:rFonts w:cs="Arial"/>
                <w:noProof/>
                <w:sz w:val="20"/>
              </w:rPr>
              <w:t>SKANDIA SEGUROS DE VIDA S.A.</w:t>
            </w:r>
          </w:p>
          <w:p w14:paraId="25EE1A57" w14:textId="77777777" w:rsidR="00A30C63" w:rsidRPr="005F2C03" w:rsidRDefault="00A30C63">
            <w:pPr>
              <w:jc w:val="center"/>
              <w:rPr>
                <w:rFonts w:cs="Arial"/>
                <w:noProof/>
                <w:sz w:val="20"/>
              </w:rPr>
            </w:pPr>
          </w:p>
          <w:p w14:paraId="3A754530" w14:textId="77777777" w:rsidR="00A30C63" w:rsidRPr="005F2C03" w:rsidRDefault="00A30C63">
            <w:pPr>
              <w:jc w:val="center"/>
              <w:rPr>
                <w:rFonts w:cs="Arial"/>
                <w:noProof/>
                <w:sz w:val="20"/>
              </w:rPr>
            </w:pPr>
            <w:r w:rsidRPr="005F2C03">
              <w:rPr>
                <w:rFonts w:cs="Arial"/>
                <w:noProof/>
                <w:sz w:val="20"/>
              </w:rPr>
              <w:t>Avenida 19 No. 109 A - 30</w:t>
            </w:r>
          </w:p>
          <w:p w14:paraId="3FEC0426" w14:textId="77777777" w:rsidR="00A30C63" w:rsidRPr="005F2C03" w:rsidRDefault="00A30C63">
            <w:pPr>
              <w:jc w:val="center"/>
              <w:rPr>
                <w:rFonts w:cs="Arial"/>
                <w:noProof/>
                <w:sz w:val="20"/>
              </w:rPr>
            </w:pPr>
            <w:r w:rsidRPr="005F2C03">
              <w:rPr>
                <w:rFonts w:cs="Arial"/>
                <w:noProof/>
                <w:sz w:val="20"/>
              </w:rPr>
              <w:t>Bogotá, D.C., Colombia</w:t>
            </w:r>
          </w:p>
          <w:p w14:paraId="5C680B1B" w14:textId="77777777" w:rsidR="00A30C63" w:rsidRPr="005F2C03" w:rsidRDefault="00A30C63">
            <w:pPr>
              <w:jc w:val="center"/>
              <w:rPr>
                <w:rFonts w:cs="Arial"/>
                <w:noProof/>
                <w:sz w:val="20"/>
              </w:rPr>
            </w:pPr>
            <w:r w:rsidRPr="005F2C03">
              <w:rPr>
                <w:rFonts w:cs="Arial"/>
                <w:noProof/>
                <w:sz w:val="20"/>
              </w:rPr>
              <w:t>Conmutador: 6584300</w:t>
            </w:r>
          </w:p>
          <w:p w14:paraId="1E7EFAD4" w14:textId="77777777" w:rsidR="00A30C63" w:rsidRPr="005F2C03" w:rsidRDefault="00A30C63">
            <w:pPr>
              <w:jc w:val="center"/>
              <w:rPr>
                <w:rFonts w:cs="Arial"/>
                <w:noProof/>
                <w:sz w:val="20"/>
              </w:rPr>
            </w:pPr>
          </w:p>
          <w:p w14:paraId="08695FB3" w14:textId="77777777" w:rsidR="00A30C63" w:rsidRPr="005F2C03" w:rsidRDefault="00A30C63">
            <w:pPr>
              <w:jc w:val="center"/>
              <w:rPr>
                <w:rFonts w:cs="Arial"/>
                <w:noProof/>
                <w:sz w:val="20"/>
              </w:rPr>
            </w:pPr>
            <w:r w:rsidRPr="005F2C03">
              <w:rPr>
                <w:rFonts w:cs="Arial"/>
                <w:noProof/>
                <w:sz w:val="20"/>
              </w:rPr>
              <w:t>NIT.:. 860.002.504-1</w:t>
            </w:r>
          </w:p>
        </w:tc>
        <w:tc>
          <w:tcPr>
            <w:tcW w:w="1524" w:type="pct"/>
            <w:tcBorders>
              <w:top w:val="single" w:sz="4" w:space="0" w:color="auto"/>
              <w:left w:val="single" w:sz="4" w:space="0" w:color="auto"/>
              <w:bottom w:val="single" w:sz="4" w:space="0" w:color="auto"/>
              <w:right w:val="single" w:sz="4" w:space="0" w:color="auto"/>
            </w:tcBorders>
            <w:vAlign w:val="center"/>
          </w:tcPr>
          <w:p w14:paraId="4D8910D8"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1E581EDD" w14:textId="77777777" w:rsidR="00A30C63" w:rsidRPr="005F2C03" w:rsidRDefault="00A30C63">
            <w:pPr>
              <w:jc w:val="center"/>
              <w:rPr>
                <w:rFonts w:cs="Arial"/>
                <w:sz w:val="20"/>
              </w:rPr>
            </w:pPr>
            <w:r w:rsidRPr="005F2C03">
              <w:rPr>
                <w:rFonts w:cs="Arial"/>
                <w:sz w:val="20"/>
              </w:rPr>
              <w:t>Seguros de Vida</w:t>
            </w:r>
          </w:p>
        </w:tc>
      </w:tr>
      <w:tr w:rsidR="00A30C63" w:rsidRPr="005F2C03" w14:paraId="49EC8933"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0DD0E6FF" w14:textId="77777777" w:rsidR="00A30C63" w:rsidRPr="005F2C03" w:rsidRDefault="00A30C63">
            <w:pPr>
              <w:jc w:val="center"/>
              <w:rPr>
                <w:rFonts w:cs="Arial"/>
                <w:noProof/>
                <w:sz w:val="20"/>
              </w:rPr>
            </w:pPr>
            <w:r w:rsidRPr="005F2C03">
              <w:rPr>
                <w:rFonts w:cs="Arial"/>
                <w:noProof/>
                <w:sz w:val="20"/>
              </w:rPr>
              <w:t>34</w:t>
            </w:r>
          </w:p>
        </w:tc>
        <w:tc>
          <w:tcPr>
            <w:tcW w:w="2173" w:type="pct"/>
            <w:tcBorders>
              <w:top w:val="single" w:sz="4" w:space="0" w:color="auto"/>
              <w:left w:val="single" w:sz="4" w:space="0" w:color="auto"/>
              <w:bottom w:val="single" w:sz="4" w:space="0" w:color="auto"/>
              <w:right w:val="single" w:sz="4" w:space="0" w:color="auto"/>
            </w:tcBorders>
            <w:vAlign w:val="center"/>
          </w:tcPr>
          <w:p w14:paraId="223A6A2E" w14:textId="77777777" w:rsidR="00A30C63" w:rsidRPr="005F2C03" w:rsidRDefault="00A30C63">
            <w:pPr>
              <w:jc w:val="center"/>
              <w:rPr>
                <w:rFonts w:cs="Arial"/>
                <w:noProof/>
                <w:sz w:val="20"/>
              </w:rPr>
            </w:pPr>
          </w:p>
          <w:p w14:paraId="36081A43" w14:textId="3E790FBB" w:rsidR="00A30C63" w:rsidRPr="005F2C03" w:rsidRDefault="00A30C63">
            <w:pPr>
              <w:jc w:val="center"/>
              <w:rPr>
                <w:rFonts w:cs="Arial"/>
                <w:noProof/>
                <w:sz w:val="20"/>
              </w:rPr>
            </w:pPr>
            <w:r w:rsidRPr="005F2C03">
              <w:rPr>
                <w:rFonts w:cs="Arial"/>
                <w:noProof/>
                <w:sz w:val="20"/>
              </w:rPr>
              <w:drawing>
                <wp:inline distT="0" distB="0" distL="0" distR="0" wp14:anchorId="62C99DAD" wp14:editId="3AD5FDDE">
                  <wp:extent cx="1323975" cy="402590"/>
                  <wp:effectExtent l="0" t="0" r="9525" b="0"/>
                  <wp:docPr id="408153719" name="Imagen 1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tipo, nombre de la empresa&#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t="25043" b="22359"/>
                          <a:stretch>
                            <a:fillRect/>
                          </a:stretch>
                        </pic:blipFill>
                        <pic:spPr bwMode="auto">
                          <a:xfrm>
                            <a:off x="0" y="0"/>
                            <a:ext cx="1323975" cy="402590"/>
                          </a:xfrm>
                          <a:prstGeom prst="rect">
                            <a:avLst/>
                          </a:prstGeom>
                          <a:noFill/>
                          <a:ln>
                            <a:noFill/>
                          </a:ln>
                        </pic:spPr>
                      </pic:pic>
                    </a:graphicData>
                  </a:graphic>
                </wp:inline>
              </w:drawing>
            </w:r>
          </w:p>
          <w:p w14:paraId="6FE454FA" w14:textId="77777777" w:rsidR="00A30C63" w:rsidRPr="005F2C03" w:rsidRDefault="00A30C63">
            <w:pPr>
              <w:jc w:val="center"/>
              <w:rPr>
                <w:rFonts w:cs="Arial"/>
                <w:noProof/>
                <w:sz w:val="20"/>
              </w:rPr>
            </w:pPr>
            <w:r w:rsidRPr="005F2C03">
              <w:rPr>
                <w:rFonts w:cs="Arial"/>
                <w:noProof/>
                <w:sz w:val="20"/>
              </w:rPr>
              <w:t>SOLUNION COLOMBIA SEGUROS DE CRÉDITO S.A.</w:t>
            </w:r>
          </w:p>
          <w:p w14:paraId="259CF674" w14:textId="77777777" w:rsidR="00A30C63" w:rsidRPr="005F2C03" w:rsidRDefault="00A30C63">
            <w:pPr>
              <w:jc w:val="center"/>
              <w:rPr>
                <w:rFonts w:cs="Arial"/>
                <w:noProof/>
                <w:sz w:val="20"/>
              </w:rPr>
            </w:pPr>
          </w:p>
          <w:p w14:paraId="11A78EE5" w14:textId="77777777" w:rsidR="00A30C63" w:rsidRPr="005F2C03" w:rsidRDefault="00A30C63">
            <w:pPr>
              <w:jc w:val="center"/>
              <w:rPr>
                <w:rFonts w:cs="Arial"/>
                <w:noProof/>
                <w:sz w:val="20"/>
              </w:rPr>
            </w:pPr>
            <w:r w:rsidRPr="005F2C03">
              <w:rPr>
                <w:rFonts w:cs="Arial"/>
                <w:noProof/>
                <w:sz w:val="20"/>
              </w:rPr>
              <w:t>Calle 7 sur No. 42-70</w:t>
            </w:r>
          </w:p>
          <w:p w14:paraId="642196FE" w14:textId="77777777" w:rsidR="00A30C63" w:rsidRPr="005F2C03" w:rsidRDefault="00A30C63">
            <w:pPr>
              <w:jc w:val="center"/>
              <w:rPr>
                <w:rFonts w:cs="Arial"/>
                <w:noProof/>
                <w:sz w:val="20"/>
              </w:rPr>
            </w:pPr>
            <w:r w:rsidRPr="005F2C03">
              <w:rPr>
                <w:rFonts w:cs="Arial"/>
                <w:noProof/>
                <w:sz w:val="20"/>
              </w:rPr>
              <w:t>Edificio Forum Torre II Oficina 815</w:t>
            </w:r>
          </w:p>
          <w:p w14:paraId="77AA8A20" w14:textId="77777777" w:rsidR="00A30C63" w:rsidRPr="005F2C03" w:rsidRDefault="00A30C63">
            <w:pPr>
              <w:jc w:val="center"/>
              <w:rPr>
                <w:rFonts w:cs="Arial"/>
                <w:noProof/>
                <w:sz w:val="20"/>
              </w:rPr>
            </w:pPr>
            <w:r w:rsidRPr="005F2C03">
              <w:rPr>
                <w:rFonts w:cs="Arial"/>
                <w:noProof/>
                <w:sz w:val="20"/>
              </w:rPr>
              <w:t>Medellín, Colombia</w:t>
            </w:r>
          </w:p>
          <w:p w14:paraId="6481F77E" w14:textId="77777777" w:rsidR="00A30C63" w:rsidRPr="005F2C03" w:rsidRDefault="00A30C63">
            <w:pPr>
              <w:jc w:val="center"/>
              <w:rPr>
                <w:rFonts w:cs="Arial"/>
                <w:noProof/>
                <w:sz w:val="20"/>
              </w:rPr>
            </w:pPr>
            <w:r w:rsidRPr="005F2C03">
              <w:rPr>
                <w:rFonts w:cs="Arial"/>
                <w:noProof/>
                <w:sz w:val="20"/>
              </w:rPr>
              <w:t>Conmutador: (4) 444 0145</w:t>
            </w:r>
          </w:p>
          <w:p w14:paraId="69007F01" w14:textId="77777777" w:rsidR="00A30C63" w:rsidRPr="005F2C03" w:rsidRDefault="00A30C63">
            <w:pPr>
              <w:jc w:val="center"/>
              <w:rPr>
                <w:rFonts w:cs="Arial"/>
                <w:noProof/>
                <w:sz w:val="20"/>
              </w:rPr>
            </w:pPr>
            <w:r w:rsidRPr="005F2C03">
              <w:rPr>
                <w:rFonts w:cs="Arial"/>
                <w:noProof/>
                <w:sz w:val="20"/>
              </w:rPr>
              <w:t>Nit: 811.019.190-7</w:t>
            </w:r>
          </w:p>
        </w:tc>
        <w:tc>
          <w:tcPr>
            <w:tcW w:w="1524" w:type="pct"/>
            <w:tcBorders>
              <w:top w:val="single" w:sz="4" w:space="0" w:color="auto"/>
              <w:left w:val="single" w:sz="4" w:space="0" w:color="auto"/>
              <w:bottom w:val="single" w:sz="4" w:space="0" w:color="auto"/>
              <w:right w:val="single" w:sz="4" w:space="0" w:color="auto"/>
            </w:tcBorders>
            <w:vAlign w:val="center"/>
          </w:tcPr>
          <w:p w14:paraId="53152839" w14:textId="77777777" w:rsidR="00A30C63" w:rsidRPr="005F2C03" w:rsidRDefault="00A30C63">
            <w:pPr>
              <w:jc w:val="center"/>
              <w:rPr>
                <w:rFonts w:cs="Arial"/>
                <w:sz w:val="20"/>
              </w:rPr>
            </w:pPr>
            <w:r w:rsidRPr="005F2C03">
              <w:rPr>
                <w:rFonts w:cs="Arial"/>
                <w:sz w:val="20"/>
              </w:rPr>
              <w:t>Seguro de Crédito Interno, Seguro de Crédito a la Exportación y Cumplimiento.</w:t>
            </w:r>
          </w:p>
          <w:p w14:paraId="6DB4EAE5" w14:textId="77777777" w:rsidR="00A30C63" w:rsidRPr="005F2C03" w:rsidRDefault="00A30C63">
            <w:pPr>
              <w:jc w:val="center"/>
              <w:rPr>
                <w:rFonts w:cs="Arial"/>
                <w:sz w:val="20"/>
              </w:rPr>
            </w:pPr>
          </w:p>
        </w:tc>
        <w:tc>
          <w:tcPr>
            <w:tcW w:w="1036" w:type="pct"/>
            <w:tcBorders>
              <w:top w:val="single" w:sz="4" w:space="0" w:color="auto"/>
              <w:left w:val="single" w:sz="4" w:space="0" w:color="auto"/>
              <w:bottom w:val="single" w:sz="4" w:space="0" w:color="auto"/>
              <w:right w:val="single" w:sz="4" w:space="0" w:color="auto"/>
            </w:tcBorders>
            <w:vAlign w:val="center"/>
          </w:tcPr>
          <w:p w14:paraId="50A44B60" w14:textId="77777777" w:rsidR="00A30C63" w:rsidRPr="005F2C03" w:rsidRDefault="00A30C63">
            <w:pPr>
              <w:jc w:val="center"/>
              <w:rPr>
                <w:rFonts w:cs="Arial"/>
                <w:sz w:val="20"/>
              </w:rPr>
            </w:pPr>
          </w:p>
        </w:tc>
      </w:tr>
      <w:tr w:rsidR="00A30C63" w:rsidRPr="005F2C03" w14:paraId="207D3D72"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125855E0" w14:textId="77777777" w:rsidR="00A30C63" w:rsidRPr="005F2C03" w:rsidRDefault="00A30C63">
            <w:pPr>
              <w:jc w:val="center"/>
              <w:rPr>
                <w:rFonts w:cs="Arial"/>
                <w:noProof/>
                <w:sz w:val="20"/>
              </w:rPr>
            </w:pPr>
            <w:r w:rsidRPr="005F2C03">
              <w:rPr>
                <w:rFonts w:cs="Arial"/>
                <w:noProof/>
                <w:sz w:val="20"/>
              </w:rPr>
              <w:lastRenderedPageBreak/>
              <w:t>35</w:t>
            </w:r>
          </w:p>
        </w:tc>
        <w:tc>
          <w:tcPr>
            <w:tcW w:w="2173" w:type="pct"/>
            <w:tcBorders>
              <w:top w:val="single" w:sz="4" w:space="0" w:color="auto"/>
              <w:left w:val="single" w:sz="4" w:space="0" w:color="auto"/>
              <w:bottom w:val="single" w:sz="4" w:space="0" w:color="auto"/>
              <w:right w:val="single" w:sz="4" w:space="0" w:color="auto"/>
            </w:tcBorders>
            <w:vAlign w:val="center"/>
          </w:tcPr>
          <w:p w14:paraId="61E33EE0" w14:textId="77777777" w:rsidR="00A30C63" w:rsidRPr="005F2C03" w:rsidRDefault="00A30C63">
            <w:pPr>
              <w:jc w:val="center"/>
              <w:rPr>
                <w:rFonts w:cs="Arial"/>
                <w:noProof/>
                <w:sz w:val="20"/>
              </w:rPr>
            </w:pPr>
          </w:p>
          <w:p w14:paraId="65F002AC" w14:textId="6F5509D9" w:rsidR="00A30C63" w:rsidRPr="005F2C03" w:rsidRDefault="00A30C63">
            <w:pPr>
              <w:jc w:val="center"/>
              <w:rPr>
                <w:rFonts w:cs="Arial"/>
                <w:noProof/>
                <w:sz w:val="20"/>
              </w:rPr>
            </w:pPr>
            <w:r w:rsidRPr="005F2C03">
              <w:rPr>
                <w:rFonts w:cs="Arial"/>
                <w:noProof/>
                <w:sz w:val="20"/>
              </w:rPr>
              <w:drawing>
                <wp:inline distT="0" distB="0" distL="0" distR="0" wp14:anchorId="6BB2F3CD" wp14:editId="43A36B38">
                  <wp:extent cx="1296670" cy="716280"/>
                  <wp:effectExtent l="0" t="0" r="0" b="7620"/>
                  <wp:docPr id="2078789081" name="Imagen 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tipo, nombre de la empresa&#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6670" cy="716280"/>
                          </a:xfrm>
                          <a:prstGeom prst="rect">
                            <a:avLst/>
                          </a:prstGeom>
                          <a:noFill/>
                          <a:ln>
                            <a:noFill/>
                          </a:ln>
                        </pic:spPr>
                      </pic:pic>
                    </a:graphicData>
                  </a:graphic>
                </wp:inline>
              </w:drawing>
            </w:r>
          </w:p>
          <w:p w14:paraId="43A35E85" w14:textId="77777777" w:rsidR="00A30C63" w:rsidRPr="005F2C03" w:rsidRDefault="00A30C63">
            <w:pPr>
              <w:jc w:val="center"/>
              <w:rPr>
                <w:rFonts w:cs="Arial"/>
                <w:noProof/>
                <w:sz w:val="20"/>
              </w:rPr>
            </w:pPr>
            <w:r w:rsidRPr="005F2C03">
              <w:rPr>
                <w:rFonts w:cs="Arial"/>
                <w:noProof/>
                <w:sz w:val="20"/>
              </w:rPr>
              <w:t>SEGUROS GENERALES SURAMERICANA S.A</w:t>
            </w:r>
          </w:p>
          <w:p w14:paraId="6D6DEC94" w14:textId="77777777" w:rsidR="00A30C63" w:rsidRPr="005F2C03" w:rsidRDefault="00A30C63">
            <w:pPr>
              <w:jc w:val="center"/>
              <w:rPr>
                <w:rFonts w:cs="Arial"/>
                <w:noProof/>
                <w:sz w:val="20"/>
              </w:rPr>
            </w:pPr>
          </w:p>
          <w:p w14:paraId="2D19E8EC" w14:textId="77777777" w:rsidR="00A30C63" w:rsidRPr="005F2C03" w:rsidRDefault="00A30C63">
            <w:pPr>
              <w:jc w:val="center"/>
              <w:rPr>
                <w:rFonts w:cs="Arial"/>
                <w:noProof/>
                <w:sz w:val="20"/>
              </w:rPr>
            </w:pPr>
            <w:r w:rsidRPr="005F2C03">
              <w:rPr>
                <w:rFonts w:cs="Arial"/>
                <w:noProof/>
                <w:sz w:val="20"/>
              </w:rPr>
              <w:t>Principal - Medellín, Colombia</w:t>
            </w:r>
          </w:p>
          <w:p w14:paraId="560962A6" w14:textId="77777777" w:rsidR="00A30C63" w:rsidRPr="005F2C03" w:rsidRDefault="00A30C63">
            <w:pPr>
              <w:jc w:val="center"/>
              <w:rPr>
                <w:rFonts w:cs="Arial"/>
                <w:noProof/>
                <w:sz w:val="20"/>
              </w:rPr>
            </w:pPr>
            <w:r w:rsidRPr="005F2C03">
              <w:rPr>
                <w:rFonts w:cs="Arial"/>
                <w:noProof/>
                <w:sz w:val="20"/>
              </w:rPr>
              <w:t>Carrera 64B N.° 49A-30</w:t>
            </w:r>
          </w:p>
          <w:p w14:paraId="411A6DFF" w14:textId="77777777" w:rsidR="00A30C63" w:rsidRPr="005F2C03" w:rsidRDefault="00A30C63">
            <w:pPr>
              <w:jc w:val="center"/>
              <w:rPr>
                <w:rFonts w:cs="Arial"/>
                <w:noProof/>
                <w:sz w:val="20"/>
              </w:rPr>
            </w:pPr>
            <w:r w:rsidRPr="005F2C03">
              <w:rPr>
                <w:rFonts w:cs="Arial"/>
                <w:noProof/>
                <w:sz w:val="20"/>
              </w:rPr>
              <w:t>Apartado Postal Nos.: 780</w:t>
            </w:r>
          </w:p>
          <w:p w14:paraId="2DFA947F" w14:textId="77777777" w:rsidR="00A30C63" w:rsidRPr="005F2C03" w:rsidRDefault="00A30C63">
            <w:pPr>
              <w:jc w:val="center"/>
              <w:rPr>
                <w:rFonts w:cs="Arial"/>
                <w:noProof/>
                <w:sz w:val="20"/>
              </w:rPr>
            </w:pPr>
            <w:r w:rsidRPr="005F2C03">
              <w:rPr>
                <w:rFonts w:cs="Arial"/>
                <w:noProof/>
                <w:sz w:val="20"/>
              </w:rPr>
              <w:t>Fax: (4) 260 31 94</w:t>
            </w:r>
          </w:p>
          <w:p w14:paraId="011FA335" w14:textId="77777777" w:rsidR="00A30C63" w:rsidRPr="005F2C03" w:rsidRDefault="00A30C63">
            <w:pPr>
              <w:jc w:val="center"/>
              <w:rPr>
                <w:rFonts w:cs="Arial"/>
                <w:noProof/>
                <w:sz w:val="20"/>
              </w:rPr>
            </w:pPr>
          </w:p>
        </w:tc>
        <w:tc>
          <w:tcPr>
            <w:tcW w:w="1524" w:type="pct"/>
            <w:tcBorders>
              <w:top w:val="single" w:sz="4" w:space="0" w:color="auto"/>
              <w:left w:val="single" w:sz="4" w:space="0" w:color="auto"/>
              <w:bottom w:val="single" w:sz="4" w:space="0" w:color="auto"/>
              <w:right w:val="single" w:sz="4" w:space="0" w:color="auto"/>
            </w:tcBorders>
            <w:vAlign w:val="center"/>
            <w:hideMark/>
          </w:tcPr>
          <w:p w14:paraId="35C4DE47" w14:textId="77777777" w:rsidR="00A30C63" w:rsidRPr="005F2C03" w:rsidRDefault="00A30C63">
            <w:pPr>
              <w:spacing w:after="160"/>
              <w:jc w:val="center"/>
              <w:rPr>
                <w:rFonts w:cs="Arial"/>
                <w:sz w:val="20"/>
              </w:rPr>
            </w:pPr>
            <w:r w:rsidRPr="005F2C03">
              <w:rPr>
                <w:rFonts w:cs="Arial"/>
                <w:sz w:val="20"/>
              </w:rPr>
              <w:t>Incendio, Lucro Cesante por Incendio, Transportes, Automóviles, Sustracción, Manejo, Cumplimiento, Responsabilidad Civil, Vidrios Planos, Navegación Casco, Seguro de Todo Riesgo Construcción, Seguro Decenal, Maquinaría y Equipo de Contratistas, Obras Civiles Terminadas, Equipo Electrónico, Rotura de Maquinaria, Riesgo Montajes, Lucro Cesante por Rotura de Maquinaria, Seguro del Hogar</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C902235" w14:textId="77777777" w:rsidR="00A30C63" w:rsidRPr="005F2C03" w:rsidRDefault="00A30C63">
            <w:pPr>
              <w:jc w:val="center"/>
              <w:rPr>
                <w:rFonts w:cs="Arial"/>
                <w:sz w:val="20"/>
              </w:rPr>
            </w:pPr>
            <w:r w:rsidRPr="005F2C03">
              <w:rPr>
                <w:rFonts w:cs="Arial"/>
                <w:sz w:val="20"/>
              </w:rPr>
              <w:t>Seguros de Vida, de Grupo y Colectivo, Accidentes Personales, Salud, Pensiones Ley 100, Seguros Previsionales y Riesgos Profesionales</w:t>
            </w:r>
          </w:p>
        </w:tc>
      </w:tr>
      <w:tr w:rsidR="00A30C63" w:rsidRPr="005F2C03" w14:paraId="19B3BF88" w14:textId="77777777" w:rsidTr="00BF5F29">
        <w:tc>
          <w:tcPr>
            <w:tcW w:w="267" w:type="pct"/>
            <w:tcBorders>
              <w:top w:val="single" w:sz="4" w:space="0" w:color="auto"/>
              <w:left w:val="single" w:sz="4" w:space="0" w:color="auto"/>
              <w:bottom w:val="single" w:sz="4" w:space="0" w:color="auto"/>
              <w:right w:val="single" w:sz="4" w:space="0" w:color="auto"/>
            </w:tcBorders>
            <w:vAlign w:val="center"/>
            <w:hideMark/>
          </w:tcPr>
          <w:p w14:paraId="7FAB115B" w14:textId="77777777" w:rsidR="00A30C63" w:rsidRPr="005F2C03" w:rsidRDefault="00A30C63">
            <w:pPr>
              <w:jc w:val="center"/>
              <w:rPr>
                <w:rFonts w:cs="Arial"/>
                <w:noProof/>
                <w:sz w:val="20"/>
              </w:rPr>
            </w:pPr>
            <w:r w:rsidRPr="005F2C03">
              <w:rPr>
                <w:rFonts w:cs="Arial"/>
                <w:noProof/>
                <w:sz w:val="20"/>
              </w:rPr>
              <w:t>36</w:t>
            </w:r>
          </w:p>
        </w:tc>
        <w:tc>
          <w:tcPr>
            <w:tcW w:w="2173" w:type="pct"/>
            <w:tcBorders>
              <w:top w:val="single" w:sz="4" w:space="0" w:color="auto"/>
              <w:left w:val="single" w:sz="4" w:space="0" w:color="auto"/>
              <w:bottom w:val="single" w:sz="4" w:space="0" w:color="auto"/>
              <w:right w:val="single" w:sz="4" w:space="0" w:color="auto"/>
            </w:tcBorders>
            <w:vAlign w:val="center"/>
          </w:tcPr>
          <w:p w14:paraId="60C5D32E" w14:textId="47940FB9" w:rsidR="00A30C63" w:rsidRPr="005F2C03" w:rsidRDefault="00A30C63">
            <w:pPr>
              <w:jc w:val="center"/>
              <w:rPr>
                <w:rFonts w:cs="Arial"/>
                <w:noProof/>
                <w:sz w:val="20"/>
              </w:rPr>
            </w:pPr>
            <w:r w:rsidRPr="005F2C03">
              <w:rPr>
                <w:rFonts w:cs="Arial"/>
                <w:noProof/>
                <w:sz w:val="20"/>
              </w:rPr>
              <w:drawing>
                <wp:inline distT="0" distB="0" distL="0" distR="0" wp14:anchorId="4B3FE646" wp14:editId="77894392">
                  <wp:extent cx="1330960" cy="511810"/>
                  <wp:effectExtent l="0" t="0" r="2540" b="2540"/>
                  <wp:docPr id="749739885"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tipo, nombre de la empresa&#10;&#10;Descripción generada automá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t="10002"/>
                          <a:stretch>
                            <a:fillRect/>
                          </a:stretch>
                        </pic:blipFill>
                        <pic:spPr bwMode="auto">
                          <a:xfrm>
                            <a:off x="0" y="0"/>
                            <a:ext cx="1330960" cy="511810"/>
                          </a:xfrm>
                          <a:prstGeom prst="rect">
                            <a:avLst/>
                          </a:prstGeom>
                          <a:noFill/>
                          <a:ln>
                            <a:noFill/>
                          </a:ln>
                        </pic:spPr>
                      </pic:pic>
                    </a:graphicData>
                  </a:graphic>
                </wp:inline>
              </w:drawing>
            </w:r>
          </w:p>
          <w:p w14:paraId="2043871F" w14:textId="77777777" w:rsidR="00A30C63" w:rsidRPr="005F2C03" w:rsidRDefault="00A30C63">
            <w:pPr>
              <w:jc w:val="center"/>
              <w:rPr>
                <w:rFonts w:cs="Arial"/>
                <w:noProof/>
                <w:sz w:val="20"/>
              </w:rPr>
            </w:pPr>
            <w:r w:rsidRPr="005F2C03">
              <w:rPr>
                <w:rFonts w:cs="Arial"/>
                <w:noProof/>
                <w:sz w:val="20"/>
              </w:rPr>
              <w:t>ZURICH COLOMBIA SEGUROS S.A.</w:t>
            </w:r>
          </w:p>
          <w:p w14:paraId="59A369F5" w14:textId="77777777" w:rsidR="00A30C63" w:rsidRPr="005F2C03" w:rsidRDefault="00A30C63">
            <w:pPr>
              <w:jc w:val="center"/>
              <w:rPr>
                <w:rFonts w:cs="Arial"/>
                <w:noProof/>
                <w:sz w:val="20"/>
              </w:rPr>
            </w:pPr>
          </w:p>
          <w:p w14:paraId="6D24B098" w14:textId="77777777" w:rsidR="00A30C63" w:rsidRPr="005F2C03" w:rsidRDefault="00A30C63">
            <w:pPr>
              <w:jc w:val="center"/>
              <w:rPr>
                <w:rFonts w:cs="Arial"/>
                <w:noProof/>
                <w:sz w:val="20"/>
              </w:rPr>
            </w:pPr>
            <w:r w:rsidRPr="005F2C03">
              <w:rPr>
                <w:rFonts w:cs="Arial"/>
                <w:noProof/>
                <w:sz w:val="20"/>
              </w:rPr>
              <w:t>Bogotá: 518 84 82 Ext. 1182</w:t>
            </w:r>
          </w:p>
          <w:p w14:paraId="3397BA32" w14:textId="77777777" w:rsidR="00A30C63" w:rsidRPr="005F2C03" w:rsidRDefault="00A30C63">
            <w:pPr>
              <w:jc w:val="center"/>
              <w:rPr>
                <w:rFonts w:cs="Arial"/>
                <w:noProof/>
                <w:sz w:val="20"/>
              </w:rPr>
            </w:pPr>
          </w:p>
          <w:p w14:paraId="5ECED71F" w14:textId="77777777" w:rsidR="00A30C63" w:rsidRPr="005F2C03" w:rsidRDefault="00A30C63">
            <w:pPr>
              <w:jc w:val="center"/>
              <w:rPr>
                <w:rFonts w:cs="Arial"/>
                <w:noProof/>
                <w:sz w:val="20"/>
              </w:rPr>
            </w:pPr>
            <w:r w:rsidRPr="005F2C03">
              <w:rPr>
                <w:rFonts w:cs="Arial"/>
                <w:noProof/>
                <w:sz w:val="20"/>
              </w:rPr>
              <w:t>zurichseguros.com.co</w:t>
            </w:r>
          </w:p>
          <w:p w14:paraId="401F9AA0" w14:textId="77777777" w:rsidR="00A30C63" w:rsidRPr="005F2C03" w:rsidRDefault="00A30C63">
            <w:pPr>
              <w:jc w:val="center"/>
              <w:rPr>
                <w:rFonts w:cs="Arial"/>
                <w:noProof/>
                <w:sz w:val="20"/>
              </w:rPr>
            </w:pPr>
            <w:r w:rsidRPr="005F2C03">
              <w:rPr>
                <w:rFonts w:cs="Arial"/>
                <w:noProof/>
                <w:sz w:val="20"/>
              </w:rPr>
              <w:t>atencioncliente@zurich.com</w:t>
            </w:r>
          </w:p>
        </w:tc>
        <w:tc>
          <w:tcPr>
            <w:tcW w:w="1524" w:type="pct"/>
            <w:tcBorders>
              <w:top w:val="single" w:sz="4" w:space="0" w:color="auto"/>
              <w:left w:val="single" w:sz="4" w:space="0" w:color="auto"/>
              <w:bottom w:val="single" w:sz="4" w:space="0" w:color="auto"/>
              <w:right w:val="single" w:sz="4" w:space="0" w:color="auto"/>
            </w:tcBorders>
            <w:vAlign w:val="center"/>
            <w:hideMark/>
          </w:tcPr>
          <w:p w14:paraId="177BC837" w14:textId="77777777" w:rsidR="00A30C63" w:rsidRPr="005F2C03" w:rsidRDefault="00A30C63">
            <w:pPr>
              <w:spacing w:after="160"/>
              <w:jc w:val="center"/>
              <w:rPr>
                <w:rFonts w:cs="Arial"/>
                <w:sz w:val="20"/>
              </w:rPr>
            </w:pPr>
            <w:r w:rsidRPr="005F2C03">
              <w:rPr>
                <w:rFonts w:cs="Arial"/>
                <w:sz w:val="20"/>
              </w:rPr>
              <w:t>Responsabilidad Civil, Transporte, Montaje y Rotura de Maquinaria, Cumplimiento, Incendio, Todo Riesgo Contratista, Lucro Cesante, Terremoto, Vidrios, Corriente Débil, Navegación (Reaseguro), Navegación y Casco, Desempleo, Manejo, Sustracción.</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2BCA287" w14:textId="77777777" w:rsidR="00A30C63" w:rsidRPr="005F2C03" w:rsidRDefault="00A30C63">
            <w:pPr>
              <w:jc w:val="center"/>
              <w:rPr>
                <w:rFonts w:cs="Arial"/>
                <w:sz w:val="20"/>
              </w:rPr>
            </w:pPr>
            <w:r w:rsidRPr="005F2C03">
              <w:rPr>
                <w:rFonts w:cs="Arial"/>
                <w:sz w:val="20"/>
              </w:rPr>
              <w:t>Accidentes Personales, Vida Grupo Automóviles</w:t>
            </w:r>
          </w:p>
        </w:tc>
      </w:tr>
    </w:tbl>
    <w:p w14:paraId="1FC77783" w14:textId="77777777" w:rsidR="00A30C63" w:rsidRPr="005F2C03" w:rsidRDefault="00A30C63" w:rsidP="00A30C63">
      <w:pPr>
        <w:jc w:val="center"/>
        <w:rPr>
          <w:rFonts w:eastAsia="Times New Roman" w:cs="Arial"/>
          <w:sz w:val="18"/>
          <w:szCs w:val="18"/>
          <w:lang w:eastAsia="es-ES_tradnl"/>
        </w:rPr>
      </w:pPr>
      <w:r w:rsidRPr="005F2C03">
        <w:rPr>
          <w:rFonts w:cs="Arial"/>
          <w:sz w:val="18"/>
          <w:szCs w:val="18"/>
        </w:rPr>
        <w:t xml:space="preserve">Fuente: Elaboración propia con información pública de </w:t>
      </w:r>
      <w:proofErr w:type="spellStart"/>
      <w:r w:rsidRPr="005F2C03">
        <w:rPr>
          <w:rFonts w:cs="Arial"/>
          <w:sz w:val="18"/>
          <w:szCs w:val="18"/>
        </w:rPr>
        <w:t>Fasecolda</w:t>
      </w:r>
      <w:proofErr w:type="spellEnd"/>
      <w:r w:rsidRPr="005F2C03">
        <w:rPr>
          <w:rFonts w:cs="Arial"/>
          <w:sz w:val="18"/>
          <w:szCs w:val="18"/>
        </w:rPr>
        <w:t xml:space="preserve"> en su portal web</w:t>
      </w:r>
    </w:p>
    <w:p w14:paraId="4240A26C" w14:textId="77777777" w:rsidR="00A30C63" w:rsidRPr="005F2C03" w:rsidRDefault="00A30C63" w:rsidP="00A30C63">
      <w:pPr>
        <w:jc w:val="center"/>
        <w:rPr>
          <w:rFonts w:eastAsia="Batang" w:cs="Arial"/>
        </w:rPr>
      </w:pPr>
    </w:p>
    <w:p w14:paraId="44A3EE2A" w14:textId="77777777" w:rsidR="00A30C63" w:rsidRPr="005F2C03" w:rsidRDefault="00A30C63" w:rsidP="00A30C63">
      <w:pPr>
        <w:jc w:val="both"/>
        <w:rPr>
          <w:rFonts w:eastAsia="Calibri" w:cs="Arial"/>
          <w:bCs/>
        </w:rPr>
      </w:pPr>
      <w:r w:rsidRPr="005F2C03">
        <w:rPr>
          <w:rFonts w:eastAsia="Calibri" w:cs="Arial"/>
          <w:bCs/>
        </w:rPr>
        <w:t>Las siguientes compañías de seguros son las que, normalmente y con frecuencia, suscriben riesgos de entidades estatales:</w:t>
      </w:r>
    </w:p>
    <w:p w14:paraId="5FF48E6F" w14:textId="77777777" w:rsidR="00A30C63" w:rsidRPr="005F2C03" w:rsidRDefault="00A30C63" w:rsidP="00A30C63">
      <w:pPr>
        <w:jc w:val="both"/>
        <w:rPr>
          <w:rFonts w:eastAsia="Calibri" w:cs="Arial"/>
          <w:bCs/>
        </w:rPr>
      </w:pPr>
    </w:p>
    <w:tbl>
      <w:tblPr>
        <w:tblW w:w="5000" w:type="pct"/>
        <w:jc w:val="center"/>
        <w:tblCellMar>
          <w:left w:w="70" w:type="dxa"/>
          <w:right w:w="70" w:type="dxa"/>
        </w:tblCellMar>
        <w:tblLook w:val="04A0" w:firstRow="1" w:lastRow="0" w:firstColumn="1" w:lastColumn="0" w:noHBand="0" w:noVBand="1"/>
      </w:tblPr>
      <w:tblGrid>
        <w:gridCol w:w="732"/>
        <w:gridCol w:w="8096"/>
      </w:tblGrid>
      <w:tr w:rsidR="00A30C63" w:rsidRPr="005F2C03" w14:paraId="2B8EE0FB" w14:textId="77777777" w:rsidTr="00A30C63">
        <w:trPr>
          <w:trHeight w:val="38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4409159C" w14:textId="77777777" w:rsidR="00A30C63" w:rsidRPr="005F2C03" w:rsidRDefault="00A30C63">
            <w:pPr>
              <w:jc w:val="center"/>
              <w:rPr>
                <w:rFonts w:eastAsia="Calibri" w:cs="Arial"/>
                <w:b/>
              </w:rPr>
            </w:pPr>
            <w:r w:rsidRPr="005F2C03">
              <w:rPr>
                <w:rFonts w:eastAsia="Calibri" w:cs="Arial"/>
                <w:b/>
              </w:rPr>
              <w:t>COMPAÑÍAS DE SEGUROS QUE PARTICIPAN EN PROCESOS DE SELECCIÓN ENTIDADES ESTATALES</w:t>
            </w:r>
          </w:p>
        </w:tc>
      </w:tr>
      <w:tr w:rsidR="00A30C63" w:rsidRPr="005F2C03" w14:paraId="4D31BBF6" w14:textId="77777777" w:rsidTr="00A30C63">
        <w:trPr>
          <w:trHeight w:val="524"/>
          <w:jc w:val="center"/>
        </w:trPr>
        <w:tc>
          <w:tcPr>
            <w:tcW w:w="412" w:type="pct"/>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359D8D3" w14:textId="77777777" w:rsidR="00A30C63" w:rsidRPr="005F2C03" w:rsidRDefault="00A30C63">
            <w:pPr>
              <w:jc w:val="center"/>
              <w:rPr>
                <w:rFonts w:eastAsia="Calibri" w:cs="Arial"/>
                <w:bCs/>
              </w:rPr>
            </w:pPr>
            <w:r w:rsidRPr="005F2C03">
              <w:rPr>
                <w:rFonts w:eastAsia="Calibri" w:cs="Arial"/>
                <w:bCs/>
              </w:rPr>
              <w:t>NO.</w:t>
            </w:r>
          </w:p>
        </w:tc>
        <w:tc>
          <w:tcPr>
            <w:tcW w:w="4588" w:type="pct"/>
            <w:tcBorders>
              <w:top w:val="nil"/>
              <w:left w:val="nil"/>
              <w:bottom w:val="single" w:sz="4" w:space="0" w:color="auto"/>
              <w:right w:val="single" w:sz="4" w:space="0" w:color="auto"/>
            </w:tcBorders>
            <w:shd w:val="clear" w:color="auto" w:fill="BDD6EE" w:themeFill="accent1" w:themeFillTint="66"/>
            <w:vAlign w:val="center"/>
            <w:hideMark/>
          </w:tcPr>
          <w:p w14:paraId="48DFCFBF" w14:textId="77777777" w:rsidR="00A30C63" w:rsidRPr="005F2C03" w:rsidRDefault="00A30C63">
            <w:pPr>
              <w:jc w:val="center"/>
              <w:rPr>
                <w:rFonts w:eastAsia="Calibri" w:cs="Arial"/>
                <w:bCs/>
              </w:rPr>
            </w:pPr>
            <w:r w:rsidRPr="005F2C03">
              <w:rPr>
                <w:rFonts w:eastAsia="Calibri" w:cs="Arial"/>
                <w:bCs/>
              </w:rPr>
              <w:t>DENOMINACIÓN SOCIAL DE LA ENTIDAD</w:t>
            </w:r>
          </w:p>
        </w:tc>
      </w:tr>
      <w:tr w:rsidR="00A30C63" w:rsidRPr="005F2C03" w14:paraId="071AB351"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0804A396" w14:textId="77777777" w:rsidR="00A30C63" w:rsidRPr="005F2C03" w:rsidRDefault="00A30C63">
            <w:pPr>
              <w:jc w:val="both"/>
              <w:rPr>
                <w:rFonts w:eastAsia="Calibri" w:cs="Arial"/>
                <w:bCs/>
              </w:rPr>
            </w:pPr>
            <w:r w:rsidRPr="005F2C03">
              <w:rPr>
                <w:rFonts w:eastAsia="Calibri" w:cs="Arial"/>
                <w:bCs/>
              </w:rPr>
              <w:t>1</w:t>
            </w:r>
          </w:p>
        </w:tc>
        <w:tc>
          <w:tcPr>
            <w:tcW w:w="4588" w:type="pct"/>
            <w:tcBorders>
              <w:top w:val="nil"/>
              <w:left w:val="nil"/>
              <w:bottom w:val="single" w:sz="4" w:space="0" w:color="auto"/>
              <w:right w:val="single" w:sz="4" w:space="0" w:color="auto"/>
            </w:tcBorders>
            <w:vAlign w:val="center"/>
            <w:hideMark/>
          </w:tcPr>
          <w:p w14:paraId="35047574" w14:textId="77777777" w:rsidR="00A30C63" w:rsidRPr="005F2C03" w:rsidRDefault="00A30C63">
            <w:pPr>
              <w:jc w:val="both"/>
              <w:rPr>
                <w:rFonts w:eastAsia="Calibri" w:cs="Arial"/>
                <w:bCs/>
              </w:rPr>
            </w:pPr>
            <w:r w:rsidRPr="005F2C03">
              <w:rPr>
                <w:rFonts w:eastAsia="Calibri" w:cs="Arial"/>
                <w:bCs/>
              </w:rPr>
              <w:t>ALLIANZ SEGUROS S.A. - ALLIANZ SEGUROS DE VIDA S.A.</w:t>
            </w:r>
          </w:p>
        </w:tc>
      </w:tr>
      <w:tr w:rsidR="00A30C63" w:rsidRPr="005F2C03" w14:paraId="3AC39A59"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265DEB8A" w14:textId="77777777" w:rsidR="00A30C63" w:rsidRPr="005F2C03" w:rsidRDefault="00A30C63">
            <w:pPr>
              <w:jc w:val="both"/>
              <w:rPr>
                <w:rFonts w:eastAsia="Calibri" w:cs="Arial"/>
                <w:bCs/>
              </w:rPr>
            </w:pPr>
            <w:r w:rsidRPr="005F2C03">
              <w:rPr>
                <w:rFonts w:eastAsia="Calibri" w:cs="Arial"/>
                <w:bCs/>
              </w:rPr>
              <w:t>2</w:t>
            </w:r>
          </w:p>
        </w:tc>
        <w:tc>
          <w:tcPr>
            <w:tcW w:w="4588" w:type="pct"/>
            <w:tcBorders>
              <w:top w:val="nil"/>
              <w:left w:val="nil"/>
              <w:bottom w:val="single" w:sz="4" w:space="0" w:color="auto"/>
              <w:right w:val="single" w:sz="4" w:space="0" w:color="auto"/>
            </w:tcBorders>
            <w:noWrap/>
            <w:vAlign w:val="center"/>
            <w:hideMark/>
          </w:tcPr>
          <w:p w14:paraId="7C21E10D" w14:textId="77777777" w:rsidR="00A30C63" w:rsidRPr="005F2C03" w:rsidRDefault="00A30C63">
            <w:pPr>
              <w:jc w:val="both"/>
              <w:rPr>
                <w:rFonts w:eastAsia="Calibri" w:cs="Arial"/>
                <w:bCs/>
              </w:rPr>
            </w:pPr>
            <w:r w:rsidRPr="005F2C03">
              <w:rPr>
                <w:rFonts w:eastAsia="Calibri" w:cs="Arial"/>
                <w:bCs/>
              </w:rPr>
              <w:t>ASEGURADORA SOLIDARIA DE COLOMBIA ENTIDAD COOPERATIVA</w:t>
            </w:r>
          </w:p>
        </w:tc>
      </w:tr>
      <w:tr w:rsidR="00A30C63" w:rsidRPr="005F2C03" w14:paraId="323402E0"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7D050E16" w14:textId="77777777" w:rsidR="00A30C63" w:rsidRPr="005F2C03" w:rsidRDefault="00A30C63">
            <w:pPr>
              <w:jc w:val="both"/>
              <w:rPr>
                <w:rFonts w:eastAsia="Calibri" w:cs="Arial"/>
                <w:bCs/>
              </w:rPr>
            </w:pPr>
            <w:r w:rsidRPr="005F2C03">
              <w:rPr>
                <w:rFonts w:eastAsia="Calibri" w:cs="Arial"/>
                <w:bCs/>
              </w:rPr>
              <w:t>3</w:t>
            </w:r>
          </w:p>
        </w:tc>
        <w:tc>
          <w:tcPr>
            <w:tcW w:w="4588" w:type="pct"/>
            <w:tcBorders>
              <w:top w:val="nil"/>
              <w:left w:val="nil"/>
              <w:bottom w:val="single" w:sz="4" w:space="0" w:color="auto"/>
              <w:right w:val="single" w:sz="4" w:space="0" w:color="auto"/>
            </w:tcBorders>
            <w:vAlign w:val="center"/>
            <w:hideMark/>
          </w:tcPr>
          <w:p w14:paraId="45FA6651" w14:textId="77777777" w:rsidR="00A30C63" w:rsidRPr="005F2C03" w:rsidRDefault="00A30C63">
            <w:pPr>
              <w:jc w:val="both"/>
              <w:rPr>
                <w:rFonts w:eastAsia="Calibri" w:cs="Arial"/>
                <w:bCs/>
              </w:rPr>
            </w:pPr>
            <w:r w:rsidRPr="005F2C03">
              <w:rPr>
                <w:rFonts w:eastAsia="Calibri" w:cs="Arial"/>
                <w:bCs/>
              </w:rPr>
              <w:t>AXA COLPATRIA SEGUROS S.A. - AXA COLPATRIA SEGUROS DE VIDA S.A.</w:t>
            </w:r>
          </w:p>
        </w:tc>
      </w:tr>
      <w:tr w:rsidR="00A30C63" w:rsidRPr="005F2C03" w14:paraId="01A77D39"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105F0FDD" w14:textId="77777777" w:rsidR="00A30C63" w:rsidRPr="005F2C03" w:rsidRDefault="00A30C63">
            <w:pPr>
              <w:jc w:val="both"/>
              <w:rPr>
                <w:rFonts w:eastAsia="Calibri" w:cs="Arial"/>
                <w:bCs/>
              </w:rPr>
            </w:pPr>
            <w:r w:rsidRPr="005F2C03">
              <w:rPr>
                <w:rFonts w:eastAsia="Calibri" w:cs="Arial"/>
                <w:bCs/>
              </w:rPr>
              <w:t>4</w:t>
            </w:r>
          </w:p>
        </w:tc>
        <w:tc>
          <w:tcPr>
            <w:tcW w:w="4588" w:type="pct"/>
            <w:tcBorders>
              <w:top w:val="nil"/>
              <w:left w:val="nil"/>
              <w:bottom w:val="single" w:sz="4" w:space="0" w:color="auto"/>
              <w:right w:val="single" w:sz="4" w:space="0" w:color="auto"/>
            </w:tcBorders>
            <w:vAlign w:val="center"/>
            <w:hideMark/>
          </w:tcPr>
          <w:p w14:paraId="29F04583" w14:textId="77777777" w:rsidR="00A30C63" w:rsidRPr="005F2C03" w:rsidRDefault="00A30C63">
            <w:pPr>
              <w:jc w:val="both"/>
              <w:rPr>
                <w:rFonts w:eastAsia="Calibri" w:cs="Arial"/>
                <w:bCs/>
              </w:rPr>
            </w:pPr>
            <w:r w:rsidRPr="005F2C03">
              <w:rPr>
                <w:rFonts w:eastAsia="Calibri" w:cs="Arial"/>
                <w:bCs/>
              </w:rPr>
              <w:t>CHUBB SEGUROS COLOMBIA S.A.</w:t>
            </w:r>
          </w:p>
        </w:tc>
      </w:tr>
      <w:tr w:rsidR="00A30C63" w:rsidRPr="005F2C03" w14:paraId="0D4F5C18"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117BA3E4" w14:textId="77777777" w:rsidR="00A30C63" w:rsidRPr="005F2C03" w:rsidRDefault="00A30C63">
            <w:pPr>
              <w:jc w:val="both"/>
              <w:rPr>
                <w:rFonts w:eastAsia="Calibri" w:cs="Arial"/>
                <w:bCs/>
              </w:rPr>
            </w:pPr>
            <w:r w:rsidRPr="005F2C03">
              <w:rPr>
                <w:rFonts w:eastAsia="Calibri" w:cs="Arial"/>
                <w:bCs/>
              </w:rPr>
              <w:t>5</w:t>
            </w:r>
          </w:p>
        </w:tc>
        <w:tc>
          <w:tcPr>
            <w:tcW w:w="4588" w:type="pct"/>
            <w:tcBorders>
              <w:top w:val="nil"/>
              <w:left w:val="nil"/>
              <w:bottom w:val="single" w:sz="4" w:space="0" w:color="auto"/>
              <w:right w:val="single" w:sz="4" w:space="0" w:color="auto"/>
            </w:tcBorders>
            <w:vAlign w:val="center"/>
            <w:hideMark/>
          </w:tcPr>
          <w:p w14:paraId="4F4B0D70" w14:textId="77777777" w:rsidR="00A30C63" w:rsidRPr="005F2C03" w:rsidRDefault="00A30C63">
            <w:pPr>
              <w:jc w:val="both"/>
              <w:rPr>
                <w:rFonts w:eastAsia="Calibri" w:cs="Arial"/>
                <w:bCs/>
              </w:rPr>
            </w:pPr>
            <w:r w:rsidRPr="005F2C03">
              <w:rPr>
                <w:rFonts w:eastAsia="Calibri" w:cs="Arial"/>
                <w:bCs/>
              </w:rPr>
              <w:t>COMPAÑÍA MUNDIAL DE SEGUROS S.A.  SIGLA:  SEGUROS MUNDIAL</w:t>
            </w:r>
          </w:p>
        </w:tc>
      </w:tr>
      <w:tr w:rsidR="00A30C63" w:rsidRPr="005F2C03" w14:paraId="6C600BB3"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388CAAC8" w14:textId="77777777" w:rsidR="00A30C63" w:rsidRPr="005F2C03" w:rsidRDefault="00A30C63">
            <w:pPr>
              <w:jc w:val="both"/>
              <w:rPr>
                <w:rFonts w:eastAsia="Calibri" w:cs="Arial"/>
                <w:bCs/>
              </w:rPr>
            </w:pPr>
            <w:r w:rsidRPr="005F2C03">
              <w:rPr>
                <w:rFonts w:eastAsia="Calibri" w:cs="Arial"/>
                <w:bCs/>
              </w:rPr>
              <w:lastRenderedPageBreak/>
              <w:t>6</w:t>
            </w:r>
          </w:p>
        </w:tc>
        <w:tc>
          <w:tcPr>
            <w:tcW w:w="4588" w:type="pct"/>
            <w:tcBorders>
              <w:top w:val="nil"/>
              <w:left w:val="nil"/>
              <w:bottom w:val="single" w:sz="4" w:space="0" w:color="auto"/>
              <w:right w:val="single" w:sz="4" w:space="0" w:color="auto"/>
            </w:tcBorders>
            <w:vAlign w:val="center"/>
            <w:hideMark/>
          </w:tcPr>
          <w:p w14:paraId="07809EFD" w14:textId="77777777" w:rsidR="00A30C63" w:rsidRPr="005F2C03" w:rsidRDefault="00A30C63">
            <w:pPr>
              <w:jc w:val="both"/>
              <w:rPr>
                <w:rFonts w:eastAsia="Calibri" w:cs="Arial"/>
                <w:bCs/>
              </w:rPr>
            </w:pPr>
            <w:r w:rsidRPr="005F2C03">
              <w:rPr>
                <w:rFonts w:eastAsia="Calibri" w:cs="Arial"/>
                <w:bCs/>
              </w:rPr>
              <w:t xml:space="preserve">HDI SEGUROS S.A. </w:t>
            </w:r>
          </w:p>
        </w:tc>
      </w:tr>
      <w:tr w:rsidR="00A30C63" w:rsidRPr="005F2C03" w14:paraId="53654AE9"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3BADD048" w14:textId="77777777" w:rsidR="00A30C63" w:rsidRPr="005F2C03" w:rsidRDefault="00A30C63">
            <w:pPr>
              <w:jc w:val="both"/>
              <w:rPr>
                <w:rFonts w:eastAsia="Calibri" w:cs="Arial"/>
                <w:bCs/>
              </w:rPr>
            </w:pPr>
            <w:r w:rsidRPr="005F2C03">
              <w:rPr>
                <w:rFonts w:eastAsia="Calibri" w:cs="Arial"/>
                <w:bCs/>
              </w:rPr>
              <w:t>7</w:t>
            </w:r>
          </w:p>
        </w:tc>
        <w:tc>
          <w:tcPr>
            <w:tcW w:w="4588" w:type="pct"/>
            <w:tcBorders>
              <w:top w:val="nil"/>
              <w:left w:val="nil"/>
              <w:bottom w:val="single" w:sz="4" w:space="0" w:color="auto"/>
              <w:right w:val="single" w:sz="4" w:space="0" w:color="auto"/>
            </w:tcBorders>
            <w:vAlign w:val="center"/>
            <w:hideMark/>
          </w:tcPr>
          <w:p w14:paraId="161C368C" w14:textId="77777777" w:rsidR="00A30C63" w:rsidRPr="005F2C03" w:rsidRDefault="00A30C63">
            <w:pPr>
              <w:jc w:val="both"/>
              <w:rPr>
                <w:rFonts w:eastAsia="Calibri" w:cs="Arial"/>
                <w:bCs/>
              </w:rPr>
            </w:pPr>
            <w:r w:rsidRPr="005F2C03">
              <w:rPr>
                <w:rFonts w:eastAsia="Calibri" w:cs="Arial"/>
                <w:bCs/>
              </w:rPr>
              <w:t>LA EQUIDAD SEGUROS GENERALES O.C - LA EQUIDAD SEGUROS GENERALES O.C</w:t>
            </w:r>
          </w:p>
        </w:tc>
      </w:tr>
      <w:tr w:rsidR="00A30C63" w:rsidRPr="005F2C03" w14:paraId="4F02F594"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6FF7B35E" w14:textId="77777777" w:rsidR="00A30C63" w:rsidRPr="005F2C03" w:rsidRDefault="00A30C63">
            <w:pPr>
              <w:jc w:val="both"/>
              <w:rPr>
                <w:rFonts w:eastAsia="Calibri" w:cs="Arial"/>
                <w:bCs/>
              </w:rPr>
            </w:pPr>
            <w:r w:rsidRPr="005F2C03">
              <w:rPr>
                <w:rFonts w:eastAsia="Calibri" w:cs="Arial"/>
                <w:bCs/>
              </w:rPr>
              <w:t>8</w:t>
            </w:r>
          </w:p>
        </w:tc>
        <w:tc>
          <w:tcPr>
            <w:tcW w:w="4588" w:type="pct"/>
            <w:tcBorders>
              <w:top w:val="nil"/>
              <w:left w:val="nil"/>
              <w:bottom w:val="single" w:sz="4" w:space="0" w:color="auto"/>
              <w:right w:val="single" w:sz="4" w:space="0" w:color="auto"/>
            </w:tcBorders>
            <w:vAlign w:val="center"/>
            <w:hideMark/>
          </w:tcPr>
          <w:p w14:paraId="0CA91E7A" w14:textId="77777777" w:rsidR="00A30C63" w:rsidRPr="005F2C03" w:rsidRDefault="00A30C63">
            <w:pPr>
              <w:jc w:val="both"/>
              <w:rPr>
                <w:rFonts w:eastAsia="Calibri" w:cs="Arial"/>
                <w:bCs/>
              </w:rPr>
            </w:pPr>
            <w:r w:rsidRPr="005F2C03">
              <w:rPr>
                <w:rFonts w:eastAsia="Calibri" w:cs="Arial"/>
                <w:bCs/>
              </w:rPr>
              <w:t>LA PREVISORA S.A. COMPAÑÍA DE SEGUROS</w:t>
            </w:r>
          </w:p>
        </w:tc>
      </w:tr>
      <w:tr w:rsidR="00A30C63" w:rsidRPr="005F2C03" w14:paraId="3379BA1E"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3F93FEA4" w14:textId="77777777" w:rsidR="00A30C63" w:rsidRPr="005F2C03" w:rsidRDefault="00A30C63">
            <w:pPr>
              <w:jc w:val="both"/>
              <w:rPr>
                <w:rFonts w:eastAsia="Calibri" w:cs="Arial"/>
                <w:bCs/>
              </w:rPr>
            </w:pPr>
            <w:r w:rsidRPr="005F2C03">
              <w:rPr>
                <w:rFonts w:eastAsia="Calibri" w:cs="Arial"/>
                <w:bCs/>
              </w:rPr>
              <w:t>9</w:t>
            </w:r>
          </w:p>
        </w:tc>
        <w:tc>
          <w:tcPr>
            <w:tcW w:w="4588" w:type="pct"/>
            <w:tcBorders>
              <w:top w:val="nil"/>
              <w:left w:val="nil"/>
              <w:bottom w:val="single" w:sz="4" w:space="0" w:color="auto"/>
              <w:right w:val="single" w:sz="4" w:space="0" w:color="auto"/>
            </w:tcBorders>
            <w:vAlign w:val="center"/>
            <w:hideMark/>
          </w:tcPr>
          <w:p w14:paraId="2B9CA52F" w14:textId="77777777" w:rsidR="00A30C63" w:rsidRPr="005F2C03" w:rsidRDefault="00A30C63">
            <w:pPr>
              <w:jc w:val="both"/>
              <w:rPr>
                <w:rFonts w:eastAsia="Calibri" w:cs="Arial"/>
                <w:bCs/>
              </w:rPr>
            </w:pPr>
            <w:r w:rsidRPr="005F2C03">
              <w:rPr>
                <w:rFonts w:eastAsia="Calibri" w:cs="Arial"/>
                <w:bCs/>
              </w:rPr>
              <w:t>LIBERTY SEGUROS S.A.</w:t>
            </w:r>
          </w:p>
        </w:tc>
      </w:tr>
      <w:tr w:rsidR="00A30C63" w:rsidRPr="005F2C03" w14:paraId="06F2FDF3"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5FE5D3A8" w14:textId="77777777" w:rsidR="00A30C63" w:rsidRPr="005F2C03" w:rsidRDefault="00A30C63">
            <w:pPr>
              <w:jc w:val="both"/>
              <w:rPr>
                <w:rFonts w:eastAsia="Calibri" w:cs="Arial"/>
                <w:bCs/>
              </w:rPr>
            </w:pPr>
            <w:r w:rsidRPr="005F2C03">
              <w:rPr>
                <w:rFonts w:eastAsia="Calibri" w:cs="Arial"/>
                <w:bCs/>
              </w:rPr>
              <w:t>10</w:t>
            </w:r>
          </w:p>
        </w:tc>
        <w:tc>
          <w:tcPr>
            <w:tcW w:w="4588" w:type="pct"/>
            <w:tcBorders>
              <w:top w:val="nil"/>
              <w:left w:val="nil"/>
              <w:bottom w:val="single" w:sz="4" w:space="0" w:color="auto"/>
              <w:right w:val="single" w:sz="4" w:space="0" w:color="auto"/>
            </w:tcBorders>
            <w:vAlign w:val="center"/>
            <w:hideMark/>
          </w:tcPr>
          <w:p w14:paraId="0EF5CE2B" w14:textId="77777777" w:rsidR="00A30C63" w:rsidRPr="005F2C03" w:rsidRDefault="00A30C63">
            <w:pPr>
              <w:jc w:val="both"/>
              <w:rPr>
                <w:rFonts w:eastAsia="Calibri" w:cs="Arial"/>
                <w:bCs/>
              </w:rPr>
            </w:pPr>
            <w:r w:rsidRPr="005F2C03">
              <w:rPr>
                <w:rFonts w:eastAsia="Calibri" w:cs="Arial"/>
                <w:bCs/>
              </w:rPr>
              <w:t>MAPFRE SEGUROS GENERALES DE COLOMBIA S.A. - MAPFRE COLOMBIA VIDA SEGUROS S.A.</w:t>
            </w:r>
          </w:p>
        </w:tc>
      </w:tr>
      <w:tr w:rsidR="00A30C63" w:rsidRPr="005F2C03" w14:paraId="6C0692CB" w14:textId="77777777" w:rsidTr="00A30C63">
        <w:trPr>
          <w:trHeight w:val="330"/>
          <w:jc w:val="center"/>
        </w:trPr>
        <w:tc>
          <w:tcPr>
            <w:tcW w:w="412" w:type="pct"/>
            <w:tcBorders>
              <w:top w:val="single" w:sz="4" w:space="0" w:color="auto"/>
              <w:left w:val="single" w:sz="4" w:space="0" w:color="auto"/>
              <w:bottom w:val="single" w:sz="4" w:space="0" w:color="auto"/>
              <w:right w:val="single" w:sz="4" w:space="0" w:color="auto"/>
            </w:tcBorders>
            <w:noWrap/>
            <w:vAlign w:val="center"/>
            <w:hideMark/>
          </w:tcPr>
          <w:p w14:paraId="3304FAD7" w14:textId="77777777" w:rsidR="00A30C63" w:rsidRPr="005F2C03" w:rsidRDefault="00A30C63">
            <w:pPr>
              <w:jc w:val="both"/>
              <w:rPr>
                <w:rFonts w:eastAsia="Calibri" w:cs="Arial"/>
                <w:bCs/>
              </w:rPr>
            </w:pPr>
            <w:r w:rsidRPr="005F2C03">
              <w:rPr>
                <w:rFonts w:eastAsia="Calibri" w:cs="Arial"/>
                <w:bCs/>
              </w:rPr>
              <w:t>11</w:t>
            </w:r>
          </w:p>
        </w:tc>
        <w:tc>
          <w:tcPr>
            <w:tcW w:w="4588" w:type="pct"/>
            <w:tcBorders>
              <w:top w:val="single" w:sz="4" w:space="0" w:color="auto"/>
              <w:left w:val="nil"/>
              <w:bottom w:val="single" w:sz="4" w:space="0" w:color="auto"/>
              <w:right w:val="single" w:sz="4" w:space="0" w:color="auto"/>
            </w:tcBorders>
            <w:vAlign w:val="center"/>
            <w:hideMark/>
          </w:tcPr>
          <w:p w14:paraId="6117E059" w14:textId="77777777" w:rsidR="00A30C63" w:rsidRPr="005F2C03" w:rsidRDefault="00A30C63">
            <w:pPr>
              <w:jc w:val="both"/>
              <w:rPr>
                <w:rFonts w:eastAsia="Calibri" w:cs="Arial"/>
                <w:bCs/>
              </w:rPr>
            </w:pPr>
            <w:r w:rsidRPr="005F2C03">
              <w:rPr>
                <w:rFonts w:eastAsia="Calibri" w:cs="Arial"/>
                <w:bCs/>
              </w:rPr>
              <w:t>POSITIVA COMPAÑÍA DE SEGUROS S.A.</w:t>
            </w:r>
          </w:p>
        </w:tc>
      </w:tr>
      <w:tr w:rsidR="00A30C63" w:rsidRPr="005F2C03" w14:paraId="6AA6436D"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533A5521" w14:textId="77777777" w:rsidR="00A30C63" w:rsidRPr="005F2C03" w:rsidRDefault="00A30C63">
            <w:pPr>
              <w:jc w:val="both"/>
              <w:rPr>
                <w:rFonts w:eastAsia="Calibri" w:cs="Arial"/>
                <w:bCs/>
              </w:rPr>
            </w:pPr>
            <w:r w:rsidRPr="005F2C03">
              <w:rPr>
                <w:rFonts w:eastAsia="Calibri" w:cs="Arial"/>
                <w:bCs/>
              </w:rPr>
              <w:t>12</w:t>
            </w:r>
          </w:p>
        </w:tc>
        <w:tc>
          <w:tcPr>
            <w:tcW w:w="4588" w:type="pct"/>
            <w:tcBorders>
              <w:top w:val="nil"/>
              <w:left w:val="nil"/>
              <w:bottom w:val="single" w:sz="4" w:space="0" w:color="auto"/>
              <w:right w:val="single" w:sz="4" w:space="0" w:color="auto"/>
            </w:tcBorders>
            <w:vAlign w:val="center"/>
            <w:hideMark/>
          </w:tcPr>
          <w:p w14:paraId="7FE0B5AA" w14:textId="77777777" w:rsidR="00A30C63" w:rsidRPr="005F2C03" w:rsidRDefault="00A30C63">
            <w:pPr>
              <w:jc w:val="both"/>
              <w:rPr>
                <w:rFonts w:eastAsia="Calibri" w:cs="Arial"/>
                <w:bCs/>
              </w:rPr>
            </w:pPr>
            <w:r w:rsidRPr="005F2C03">
              <w:rPr>
                <w:rFonts w:eastAsia="Calibri" w:cs="Arial"/>
                <w:bCs/>
              </w:rPr>
              <w:t>SBS SEGUROS COLOMBIA S.A.</w:t>
            </w:r>
          </w:p>
        </w:tc>
      </w:tr>
      <w:tr w:rsidR="00A30C63" w:rsidRPr="005F2C03" w14:paraId="5EEDF951"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0775926E" w14:textId="77777777" w:rsidR="00A30C63" w:rsidRPr="005F2C03" w:rsidRDefault="00A30C63">
            <w:pPr>
              <w:jc w:val="both"/>
              <w:rPr>
                <w:rFonts w:eastAsia="Calibri" w:cs="Arial"/>
                <w:bCs/>
              </w:rPr>
            </w:pPr>
            <w:r w:rsidRPr="005F2C03">
              <w:rPr>
                <w:rFonts w:eastAsia="Calibri" w:cs="Arial"/>
                <w:bCs/>
              </w:rPr>
              <w:t>13</w:t>
            </w:r>
          </w:p>
        </w:tc>
        <w:tc>
          <w:tcPr>
            <w:tcW w:w="4588" w:type="pct"/>
            <w:tcBorders>
              <w:top w:val="nil"/>
              <w:left w:val="nil"/>
              <w:bottom w:val="single" w:sz="4" w:space="0" w:color="auto"/>
              <w:right w:val="single" w:sz="4" w:space="0" w:color="auto"/>
            </w:tcBorders>
            <w:vAlign w:val="center"/>
            <w:hideMark/>
          </w:tcPr>
          <w:p w14:paraId="447F33AB" w14:textId="77777777" w:rsidR="00A30C63" w:rsidRPr="005F2C03" w:rsidRDefault="00A30C63">
            <w:pPr>
              <w:jc w:val="both"/>
              <w:rPr>
                <w:rFonts w:eastAsia="Calibri" w:cs="Arial"/>
                <w:bCs/>
              </w:rPr>
            </w:pPr>
            <w:r w:rsidRPr="005F2C03">
              <w:rPr>
                <w:rFonts w:eastAsia="Calibri" w:cs="Arial"/>
                <w:bCs/>
              </w:rPr>
              <w:t>SEGUROS DEL ESTADO S.A. - SEGUROS DE VIDA DEL ESTADO S.A.</w:t>
            </w:r>
          </w:p>
        </w:tc>
      </w:tr>
      <w:tr w:rsidR="00A30C63" w:rsidRPr="005F2C03" w14:paraId="23ED7BBA" w14:textId="77777777" w:rsidTr="00A30C63">
        <w:trPr>
          <w:trHeight w:val="330"/>
          <w:jc w:val="center"/>
        </w:trPr>
        <w:tc>
          <w:tcPr>
            <w:tcW w:w="412" w:type="pct"/>
            <w:tcBorders>
              <w:top w:val="single" w:sz="4" w:space="0" w:color="auto"/>
              <w:left w:val="single" w:sz="4" w:space="0" w:color="auto"/>
              <w:bottom w:val="single" w:sz="4" w:space="0" w:color="auto"/>
              <w:right w:val="single" w:sz="4" w:space="0" w:color="auto"/>
            </w:tcBorders>
            <w:noWrap/>
            <w:vAlign w:val="center"/>
            <w:hideMark/>
          </w:tcPr>
          <w:p w14:paraId="6A827C3A" w14:textId="77777777" w:rsidR="00A30C63" w:rsidRPr="005F2C03" w:rsidRDefault="00A30C63">
            <w:pPr>
              <w:jc w:val="both"/>
              <w:rPr>
                <w:rFonts w:eastAsia="Calibri" w:cs="Arial"/>
                <w:bCs/>
              </w:rPr>
            </w:pPr>
            <w:r w:rsidRPr="005F2C03">
              <w:rPr>
                <w:rFonts w:eastAsia="Calibri" w:cs="Arial"/>
                <w:bCs/>
              </w:rPr>
              <w:t>14</w:t>
            </w:r>
          </w:p>
        </w:tc>
        <w:tc>
          <w:tcPr>
            <w:tcW w:w="4588" w:type="pct"/>
            <w:tcBorders>
              <w:top w:val="single" w:sz="4" w:space="0" w:color="auto"/>
              <w:left w:val="nil"/>
              <w:bottom w:val="single" w:sz="4" w:space="0" w:color="auto"/>
              <w:right w:val="single" w:sz="4" w:space="0" w:color="auto"/>
            </w:tcBorders>
            <w:vAlign w:val="center"/>
            <w:hideMark/>
          </w:tcPr>
          <w:p w14:paraId="2AE4BB2D" w14:textId="77777777" w:rsidR="00A30C63" w:rsidRPr="005F2C03" w:rsidRDefault="00A30C63">
            <w:pPr>
              <w:jc w:val="both"/>
              <w:rPr>
                <w:rFonts w:eastAsia="Calibri" w:cs="Arial"/>
                <w:bCs/>
              </w:rPr>
            </w:pPr>
            <w:r w:rsidRPr="005F2C03">
              <w:rPr>
                <w:rFonts w:eastAsia="Calibri" w:cs="Arial"/>
                <w:bCs/>
              </w:rPr>
              <w:t xml:space="preserve">SEGUROS GENERALES SURAMERICANA S.A. - SEGUROS DE VIDA SURAMERICANA S.A. </w:t>
            </w:r>
          </w:p>
        </w:tc>
      </w:tr>
      <w:tr w:rsidR="00A30C63" w:rsidRPr="005F2C03" w14:paraId="4F627084" w14:textId="77777777" w:rsidTr="00A30C63">
        <w:trPr>
          <w:trHeight w:val="330"/>
          <w:jc w:val="center"/>
        </w:trPr>
        <w:tc>
          <w:tcPr>
            <w:tcW w:w="412" w:type="pct"/>
            <w:tcBorders>
              <w:top w:val="nil"/>
              <w:left w:val="single" w:sz="4" w:space="0" w:color="auto"/>
              <w:bottom w:val="single" w:sz="4" w:space="0" w:color="auto"/>
              <w:right w:val="single" w:sz="4" w:space="0" w:color="auto"/>
            </w:tcBorders>
            <w:noWrap/>
            <w:vAlign w:val="center"/>
            <w:hideMark/>
          </w:tcPr>
          <w:p w14:paraId="68B041E5" w14:textId="77777777" w:rsidR="00A30C63" w:rsidRPr="005F2C03" w:rsidRDefault="00A30C63">
            <w:pPr>
              <w:jc w:val="both"/>
              <w:rPr>
                <w:rFonts w:eastAsia="Calibri" w:cs="Arial"/>
                <w:bCs/>
              </w:rPr>
            </w:pPr>
            <w:r w:rsidRPr="005F2C03">
              <w:rPr>
                <w:rFonts w:eastAsia="Calibri" w:cs="Arial"/>
                <w:bCs/>
              </w:rPr>
              <w:t>15</w:t>
            </w:r>
          </w:p>
        </w:tc>
        <w:tc>
          <w:tcPr>
            <w:tcW w:w="4588" w:type="pct"/>
            <w:tcBorders>
              <w:top w:val="nil"/>
              <w:left w:val="nil"/>
              <w:bottom w:val="single" w:sz="4" w:space="0" w:color="auto"/>
              <w:right w:val="single" w:sz="4" w:space="0" w:color="auto"/>
            </w:tcBorders>
            <w:vAlign w:val="center"/>
            <w:hideMark/>
          </w:tcPr>
          <w:p w14:paraId="4CDCD84A" w14:textId="77777777" w:rsidR="00A30C63" w:rsidRPr="005F2C03" w:rsidRDefault="00A30C63">
            <w:pPr>
              <w:jc w:val="both"/>
              <w:rPr>
                <w:rFonts w:eastAsia="Calibri" w:cs="Arial"/>
                <w:bCs/>
              </w:rPr>
            </w:pPr>
            <w:r w:rsidRPr="005F2C03">
              <w:rPr>
                <w:rFonts w:eastAsia="Calibri" w:cs="Arial"/>
                <w:bCs/>
              </w:rPr>
              <w:t>ZURICH COLOMBIA SEGUROS S.A.</w:t>
            </w:r>
          </w:p>
        </w:tc>
      </w:tr>
    </w:tbl>
    <w:p w14:paraId="0E83456F" w14:textId="77777777" w:rsidR="00A30C63" w:rsidRPr="005F2C03" w:rsidRDefault="00A30C63" w:rsidP="00A30C63">
      <w:pPr>
        <w:jc w:val="center"/>
        <w:rPr>
          <w:rFonts w:eastAsia="Times New Roman" w:cs="Arial"/>
          <w:sz w:val="18"/>
          <w:szCs w:val="18"/>
          <w:lang w:eastAsia="es-ES_tradnl"/>
        </w:rPr>
      </w:pPr>
      <w:r w:rsidRPr="005F2C03">
        <w:rPr>
          <w:rFonts w:cs="Arial"/>
          <w:sz w:val="18"/>
          <w:szCs w:val="18"/>
        </w:rPr>
        <w:t>Fuente: Elaboración propia.</w:t>
      </w:r>
    </w:p>
    <w:p w14:paraId="5D0B5FC1" w14:textId="77777777" w:rsidR="00A30C63" w:rsidRPr="005F2C03" w:rsidRDefault="00A30C63" w:rsidP="00A30C63">
      <w:pPr>
        <w:rPr>
          <w:rFonts w:cs="Times New Roman"/>
          <w:lang w:val="es-ES_tradnl" w:eastAsia="es-CO"/>
        </w:rPr>
      </w:pPr>
    </w:p>
    <w:p w14:paraId="1865644E" w14:textId="77777777" w:rsidR="00A30C63" w:rsidRPr="005F2C03" w:rsidRDefault="00A30C63" w:rsidP="00A30C63">
      <w:pPr>
        <w:jc w:val="both"/>
        <w:rPr>
          <w:lang w:val="es-ES_tradnl" w:eastAsia="es-CO"/>
        </w:rPr>
      </w:pPr>
      <w:r w:rsidRPr="005F2C03">
        <w:rPr>
          <w:lang w:val="es-ES_tradnl" w:eastAsia="es-CO"/>
        </w:rPr>
        <w:t>La tabla muestra las compañías que participan en la contratación de seguros del sector estatal y en los ramos que generalmente participan, sean ramos generales y/o ramos de vida.</w:t>
      </w:r>
      <w:r w:rsidRPr="005F2C03">
        <w:rPr>
          <w:lang w:val="es-ES_tradnl" w:eastAsia="es-CO"/>
        </w:rPr>
        <w:tab/>
      </w:r>
    </w:p>
    <w:p w14:paraId="04C5BB1D" w14:textId="77777777" w:rsidR="00A30C63" w:rsidRPr="005F2C03" w:rsidRDefault="00A30C63" w:rsidP="00A30C63">
      <w:pPr>
        <w:jc w:val="both"/>
        <w:rPr>
          <w:lang w:val="es-ES_tradnl" w:eastAsia="es-CO"/>
        </w:rPr>
      </w:pPr>
    </w:p>
    <w:p w14:paraId="2C576074" w14:textId="66DA28AE" w:rsidR="00A30C63" w:rsidRPr="005F2C03" w:rsidRDefault="00A30C63" w:rsidP="001D21F6">
      <w:pPr>
        <w:pStyle w:val="Default"/>
        <w:jc w:val="both"/>
        <w:rPr>
          <w:b/>
          <w:bCs/>
          <w:szCs w:val="22"/>
        </w:rPr>
      </w:pPr>
      <w:r w:rsidRPr="005F2C03">
        <w:rPr>
          <w:b/>
          <w:bCs/>
          <w:szCs w:val="22"/>
        </w:rPr>
        <w:t>¿</w:t>
      </w:r>
      <w:r w:rsidR="00BF5F29" w:rsidRPr="005F2C03">
        <w:rPr>
          <w:b/>
          <w:bCs/>
          <w:szCs w:val="22"/>
        </w:rPr>
        <w:t>Cuál es la dinámica de producción, distribución y entrega de bienes, obras o servicios?</w:t>
      </w:r>
    </w:p>
    <w:p w14:paraId="2F1C025B" w14:textId="77777777" w:rsidR="00A30C63" w:rsidRPr="005F2C03" w:rsidRDefault="00A30C63" w:rsidP="00A30C63">
      <w:pPr>
        <w:pStyle w:val="Default"/>
        <w:rPr>
          <w:szCs w:val="22"/>
        </w:rPr>
      </w:pPr>
    </w:p>
    <w:p w14:paraId="60932A15" w14:textId="77777777" w:rsidR="00A30C63" w:rsidRPr="005F2C03" w:rsidRDefault="00A30C63" w:rsidP="00A30C63">
      <w:pPr>
        <w:pStyle w:val="Default"/>
        <w:jc w:val="both"/>
        <w:rPr>
          <w:szCs w:val="22"/>
        </w:rPr>
      </w:pPr>
      <w:r w:rsidRPr="005F2C03">
        <w:rPr>
          <w:szCs w:val="22"/>
        </w:rPr>
        <w:t>Las compañías de seguros basan su negocio en el cobro de unas primas para garantizar unas coberturas a sus asegurados en caso de que se dé la ocurrencia del siniestro. Estas primas son invertidas en diversos activos (financieros y materiales) que ofrecen un rendimiento. La disponibilidad de una amplia cartera de pólizas hace que las compañías puedan hacer frente a los siniestros que acontecen gracias a que la prima ha sido obtenida mediante cálculos actuariales. El ciclo económico de las compañías aseguradoras se caracteriza por el cobro de las primas al inicio de cobertura de los contratos, realizándose los pagos en un momento posterior y disponiendo, por lo tanto, de unos recursos que se invertirán en distintos activos financieros y materiales. Así el ciclo del negocio de la actividad aseguradora es el siguiente:</w:t>
      </w:r>
    </w:p>
    <w:p w14:paraId="08C25D58" w14:textId="470D39AA" w:rsidR="00A30C63" w:rsidRPr="005F2C03" w:rsidRDefault="00A30C63" w:rsidP="00A30C63">
      <w:pPr>
        <w:pStyle w:val="Default"/>
        <w:jc w:val="center"/>
        <w:rPr>
          <w:szCs w:val="22"/>
        </w:rPr>
      </w:pPr>
      <w:r w:rsidRPr="005F2C03">
        <w:rPr>
          <w:noProof/>
          <w:szCs w:val="22"/>
        </w:rPr>
        <w:drawing>
          <wp:inline distT="0" distB="0" distL="0" distR="0" wp14:anchorId="6D71ED5C" wp14:editId="759743B4">
            <wp:extent cx="5541010" cy="1180465"/>
            <wp:effectExtent l="0" t="38100" r="59690" b="38735"/>
            <wp:docPr id="126682484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2383BA29" w14:textId="77777777" w:rsidR="00A30C63" w:rsidRPr="005F2C03" w:rsidRDefault="00A30C63" w:rsidP="00A30C63">
      <w:pPr>
        <w:pStyle w:val="Default"/>
        <w:jc w:val="both"/>
        <w:rPr>
          <w:szCs w:val="22"/>
        </w:rPr>
      </w:pPr>
      <w:r w:rsidRPr="005F2C03">
        <w:rPr>
          <w:szCs w:val="22"/>
        </w:rPr>
        <w:t>Una vez se encuentran expedidas las pólizas se inicia el cubrimiento de los diferentes riesgos, que serán materializados con la atención de los siniestros en caso de presentarse:</w:t>
      </w:r>
    </w:p>
    <w:p w14:paraId="0F896B6C" w14:textId="77777777" w:rsidR="00A30C63" w:rsidRPr="005F2C03" w:rsidRDefault="00A30C63" w:rsidP="00A30C63">
      <w:pPr>
        <w:pStyle w:val="Default"/>
        <w:jc w:val="both"/>
        <w:rPr>
          <w:szCs w:val="22"/>
        </w:rPr>
      </w:pPr>
    </w:p>
    <w:p w14:paraId="25EACE60" w14:textId="199F3EB2" w:rsidR="00A30C63" w:rsidRPr="005F2C03" w:rsidRDefault="00A30C63" w:rsidP="00A30C63">
      <w:pPr>
        <w:pStyle w:val="Default"/>
        <w:jc w:val="both"/>
        <w:rPr>
          <w:szCs w:val="22"/>
        </w:rPr>
      </w:pPr>
      <w:r w:rsidRPr="005F2C03">
        <w:rPr>
          <w:noProof/>
          <w:szCs w:val="22"/>
        </w:rPr>
        <w:lastRenderedPageBreak/>
        <w:drawing>
          <wp:inline distT="0" distB="0" distL="0" distR="0" wp14:anchorId="46ABCBC5" wp14:editId="06EEFE52">
            <wp:extent cx="5636260" cy="1085215"/>
            <wp:effectExtent l="0" t="76200" r="40640" b="95885"/>
            <wp:docPr id="1875987366"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BFBFEEF" w14:textId="77777777" w:rsidR="00A30C63" w:rsidRPr="005F2C03" w:rsidRDefault="00A30C63" w:rsidP="00A30C63">
      <w:pPr>
        <w:pStyle w:val="Default"/>
        <w:jc w:val="both"/>
        <w:rPr>
          <w:szCs w:val="22"/>
        </w:rPr>
      </w:pPr>
    </w:p>
    <w:p w14:paraId="318EDB75" w14:textId="77777777" w:rsidR="001D21F6" w:rsidRPr="005F2C03" w:rsidRDefault="001D21F6" w:rsidP="00A30C63">
      <w:pPr>
        <w:pStyle w:val="Default"/>
        <w:jc w:val="both"/>
        <w:rPr>
          <w:szCs w:val="22"/>
        </w:rPr>
      </w:pPr>
    </w:p>
    <w:p w14:paraId="3E2C6745" w14:textId="77777777" w:rsidR="001D21F6" w:rsidRPr="005F2C03" w:rsidRDefault="001D21F6" w:rsidP="00A30C63">
      <w:pPr>
        <w:pStyle w:val="Default"/>
        <w:jc w:val="both"/>
        <w:rPr>
          <w:szCs w:val="22"/>
        </w:rPr>
      </w:pPr>
    </w:p>
    <w:p w14:paraId="41D26CCB" w14:textId="77777777" w:rsidR="001D21F6" w:rsidRPr="005F2C03" w:rsidRDefault="001D21F6" w:rsidP="001D21F6">
      <w:pPr>
        <w:pStyle w:val="Default"/>
        <w:rPr>
          <w:b/>
          <w:bCs/>
          <w:szCs w:val="22"/>
        </w:rPr>
      </w:pPr>
    </w:p>
    <w:p w14:paraId="4D6FEA4B" w14:textId="77E5B15E" w:rsidR="00A30C63" w:rsidRPr="005F2C03" w:rsidRDefault="00BF5F29" w:rsidP="001D21F6">
      <w:pPr>
        <w:pStyle w:val="Default"/>
        <w:rPr>
          <w:b/>
          <w:bCs/>
          <w:szCs w:val="22"/>
        </w:rPr>
      </w:pPr>
      <w:r w:rsidRPr="005F2C03">
        <w:rPr>
          <w:b/>
          <w:bCs/>
          <w:szCs w:val="22"/>
        </w:rPr>
        <w:t>Cadena de suministro</w:t>
      </w:r>
    </w:p>
    <w:p w14:paraId="597C266C" w14:textId="77777777" w:rsidR="00A30C63" w:rsidRPr="005F2C03" w:rsidRDefault="00A30C63" w:rsidP="00A30C63">
      <w:pPr>
        <w:pStyle w:val="Default"/>
        <w:rPr>
          <w:b/>
          <w:bCs/>
          <w:szCs w:val="22"/>
        </w:rPr>
      </w:pPr>
    </w:p>
    <w:p w14:paraId="0ADADBA6" w14:textId="77777777" w:rsidR="00A30C63" w:rsidRPr="005F2C03" w:rsidRDefault="00A30C63" w:rsidP="00A30C63">
      <w:pPr>
        <w:pStyle w:val="Default"/>
        <w:jc w:val="both"/>
        <w:rPr>
          <w:szCs w:val="22"/>
        </w:rPr>
      </w:pPr>
      <w:r w:rsidRPr="005F2C03">
        <w:rPr>
          <w:szCs w:val="22"/>
        </w:rPr>
        <w:t>En el sector de seguros podemos presenciar la intervención de 2 agentes, los cuales son: los intermediarios y las compañías de seguros, el papel de los intermediarios es el de ser el canal de distribución de las compañías de seguros, pero en ocasiones sus costos son más altos relacionados con los que ofrecen las compañías de seguros. Por eso en la cadena que a continuación se relaciona podemos visualizar las dos opciones que tiene la entidad estatal y es su</w:t>
      </w:r>
      <w:r w:rsidRPr="005F2C03">
        <w:rPr>
          <w:b/>
          <w:bCs/>
          <w:szCs w:val="22"/>
        </w:rPr>
        <w:t xml:space="preserve"> </w:t>
      </w:r>
      <w:r w:rsidRPr="005F2C03">
        <w:rPr>
          <w:szCs w:val="22"/>
        </w:rPr>
        <w:t>decisión que camino optar dependiendo su necesidad y su ganancia.</w:t>
      </w:r>
    </w:p>
    <w:p w14:paraId="09291DB0" w14:textId="77777777" w:rsidR="00A30C63" w:rsidRPr="005F2C03" w:rsidRDefault="00A30C63" w:rsidP="00A30C63">
      <w:pPr>
        <w:pStyle w:val="Default"/>
        <w:jc w:val="both"/>
        <w:rPr>
          <w:szCs w:val="22"/>
        </w:rPr>
      </w:pPr>
    </w:p>
    <w:p w14:paraId="0964AD20" w14:textId="504568E7" w:rsidR="00A30C63" w:rsidRPr="005F2C03" w:rsidRDefault="00A30C63" w:rsidP="00A30C63">
      <w:pPr>
        <w:pStyle w:val="Default"/>
        <w:jc w:val="center"/>
        <w:rPr>
          <w:szCs w:val="22"/>
        </w:rPr>
      </w:pPr>
      <w:r w:rsidRPr="005F2C03">
        <w:rPr>
          <w:noProof/>
          <w:szCs w:val="22"/>
        </w:rPr>
        <w:drawing>
          <wp:inline distT="0" distB="0" distL="0" distR="0" wp14:anchorId="47B52D64" wp14:editId="2C6F98CB">
            <wp:extent cx="3876040" cy="1849120"/>
            <wp:effectExtent l="0" t="0" r="0" b="0"/>
            <wp:docPr id="419791252"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nterfaz de usuario gráfica, Aplicación, Word&#10;&#10;Descripción generada automáticamente"/>
                    <pic:cNvPicPr>
                      <a:picLocks noChangeAspect="1" noChangeArrowheads="1"/>
                    </pic:cNvPicPr>
                  </pic:nvPicPr>
                  <pic:blipFill>
                    <a:blip r:embed="rId70">
                      <a:extLst>
                        <a:ext uri="{28A0092B-C50C-407E-A947-70E740481C1C}">
                          <a14:useLocalDpi xmlns:a14="http://schemas.microsoft.com/office/drawing/2010/main" val="0"/>
                        </a:ext>
                      </a:extLst>
                    </a:blip>
                    <a:srcRect l="4646" t="46924" r="50027" b="24966"/>
                    <a:stretch>
                      <a:fillRect/>
                    </a:stretch>
                  </pic:blipFill>
                  <pic:spPr bwMode="auto">
                    <a:xfrm>
                      <a:off x="0" y="0"/>
                      <a:ext cx="3876040" cy="1849120"/>
                    </a:xfrm>
                    <a:prstGeom prst="rect">
                      <a:avLst/>
                    </a:prstGeom>
                    <a:noFill/>
                    <a:ln>
                      <a:noFill/>
                    </a:ln>
                  </pic:spPr>
                </pic:pic>
              </a:graphicData>
            </a:graphic>
          </wp:inline>
        </w:drawing>
      </w:r>
    </w:p>
    <w:p w14:paraId="06033FDA" w14:textId="77777777" w:rsidR="00A83180" w:rsidRDefault="00A83180" w:rsidP="001D21F6">
      <w:pPr>
        <w:pStyle w:val="NormalWeb"/>
        <w:spacing w:before="0" w:after="0"/>
        <w:jc w:val="center"/>
        <w:rPr>
          <w:rFonts w:ascii="Arial Narrow" w:eastAsia="Arial Narrow" w:hAnsi="Arial Narrow" w:cs="Arial"/>
          <w:b/>
          <w:bCs/>
          <w:i w:val="0"/>
          <w:iCs w:val="0"/>
          <w:szCs w:val="22"/>
          <w:lang w:bidi="es-ES"/>
        </w:rPr>
      </w:pPr>
    </w:p>
    <w:p w14:paraId="3870CFED" w14:textId="643FFE14" w:rsidR="001D21F6" w:rsidRPr="005F2C03" w:rsidRDefault="001D21F6" w:rsidP="001D21F6">
      <w:pPr>
        <w:pStyle w:val="NormalWeb"/>
        <w:spacing w:before="0" w:after="0"/>
        <w:jc w:val="center"/>
        <w:rPr>
          <w:rFonts w:ascii="Arial Narrow" w:eastAsia="Arial Narrow" w:hAnsi="Arial Narrow" w:cs="Arial"/>
          <w:b/>
          <w:bCs/>
          <w:i w:val="0"/>
          <w:iCs w:val="0"/>
          <w:szCs w:val="22"/>
          <w:lang w:bidi="es-ES"/>
        </w:rPr>
      </w:pPr>
      <w:r w:rsidRPr="005F2C03">
        <w:rPr>
          <w:rFonts w:ascii="Arial Narrow" w:eastAsia="Arial Narrow" w:hAnsi="Arial Narrow" w:cs="Arial"/>
          <w:b/>
          <w:bCs/>
          <w:i w:val="0"/>
          <w:iCs w:val="0"/>
          <w:szCs w:val="22"/>
          <w:lang w:bidi="es-ES"/>
        </w:rPr>
        <w:t>CAPÍTULO V</w:t>
      </w:r>
    </w:p>
    <w:p w14:paraId="7AF266FA" w14:textId="5AE59714" w:rsidR="00A30C63" w:rsidRPr="005F2C03" w:rsidRDefault="00BF5F29" w:rsidP="001D21F6">
      <w:pPr>
        <w:pStyle w:val="NormalWeb"/>
        <w:spacing w:before="0" w:after="0"/>
        <w:jc w:val="center"/>
        <w:rPr>
          <w:rFonts w:ascii="Arial Narrow" w:eastAsia="Arial Narrow" w:hAnsi="Arial Narrow" w:cs="Arial"/>
          <w:b/>
          <w:bCs/>
          <w:i w:val="0"/>
          <w:iCs w:val="0"/>
          <w:szCs w:val="22"/>
          <w:lang w:bidi="es-ES"/>
        </w:rPr>
      </w:pPr>
      <w:r w:rsidRPr="005F2C03">
        <w:rPr>
          <w:rFonts w:ascii="Arial Narrow" w:eastAsia="Arial Narrow" w:hAnsi="Arial Narrow" w:cs="Arial"/>
          <w:b/>
          <w:bCs/>
          <w:i w:val="0"/>
          <w:iCs w:val="0"/>
          <w:szCs w:val="22"/>
          <w:lang w:bidi="es-ES"/>
        </w:rPr>
        <w:t>ANÁLISIS DE LA OFERTA</w:t>
      </w:r>
    </w:p>
    <w:p w14:paraId="64A75204" w14:textId="77777777" w:rsidR="00AC1E14" w:rsidRPr="005F2C03" w:rsidRDefault="00AC1E14" w:rsidP="00AC1E14">
      <w:pPr>
        <w:jc w:val="both"/>
        <w:rPr>
          <w:rFonts w:eastAsia="Batang" w:cs="Arial"/>
          <w:color w:val="000000" w:themeColor="text1"/>
          <w:lang w:val="es-ES_tradnl"/>
        </w:rPr>
      </w:pPr>
      <w:r w:rsidRPr="005F2C03">
        <w:rPr>
          <w:rFonts w:cs="Arial"/>
          <w:lang w:val="es-ES_tradnl"/>
        </w:rPr>
        <w:t>Es obligación de las Entidades del Estado asegurar sus bienes e intereses patrimoniales, es por eso por lo que, a través de la celebración de contratos de seguros, las Entidades Estatales buscan proteger su patrimonio contra la mayor cantidad de riesgos a los cuales se encuentra expuesto, por lo que las Entidades escogen la</w:t>
      </w:r>
      <w:r w:rsidRPr="005F2C03">
        <w:rPr>
          <w:rFonts w:eastAsia="Batang" w:cs="Arial"/>
          <w:bCs/>
          <w:color w:val="000000" w:themeColor="text1"/>
          <w:lang w:val="es-ES_tradnl"/>
        </w:rPr>
        <w:t xml:space="preserve"> </w:t>
      </w:r>
      <w:r w:rsidRPr="005F2C03">
        <w:rPr>
          <w:rFonts w:eastAsia="Batang" w:cs="Arial"/>
          <w:bCs/>
          <w:color w:val="000000" w:themeColor="text1"/>
          <w:lang w:val="es-ES_tradnl"/>
        </w:rPr>
        <w:lastRenderedPageBreak/>
        <w:t>modalidad de selección de conformidad con su régimen de contratación y en</w:t>
      </w:r>
      <w:r w:rsidRPr="005F2C03">
        <w:rPr>
          <w:rFonts w:eastAsia="Batang" w:cs="Arial"/>
          <w:color w:val="000000" w:themeColor="text1"/>
          <w:lang w:val="es-ES_tradnl"/>
        </w:rPr>
        <w:t xml:space="preserve"> atención a que como el servicio requerido es integral, se verifican las condiciones y especificaciones técnicas.</w:t>
      </w:r>
    </w:p>
    <w:p w14:paraId="2D09FFFE" w14:textId="77777777" w:rsidR="00AC1E14" w:rsidRPr="005F2C03" w:rsidRDefault="00AC1E14" w:rsidP="00AC1E14">
      <w:pPr>
        <w:jc w:val="both"/>
        <w:rPr>
          <w:rFonts w:eastAsia="Batang" w:cs="Arial"/>
          <w:color w:val="000000" w:themeColor="text1"/>
          <w:lang w:val="es-ES_tradnl"/>
        </w:rPr>
      </w:pPr>
    </w:p>
    <w:p w14:paraId="3AFB0EFF" w14:textId="788D4934" w:rsidR="00AC1E14" w:rsidRPr="005F2C03" w:rsidRDefault="00AC1E14" w:rsidP="00AC1E14">
      <w:pPr>
        <w:jc w:val="both"/>
        <w:rPr>
          <w:rFonts w:eastAsia="Batang" w:cs="Arial"/>
          <w:color w:val="000000" w:themeColor="text1"/>
          <w:lang w:val="es-ES_tradnl"/>
        </w:rPr>
      </w:pPr>
      <w:r w:rsidRPr="005F2C03">
        <w:rPr>
          <w:rFonts w:eastAsia="Batang" w:cs="Arial"/>
          <w:color w:val="000000" w:themeColor="text1"/>
          <w:lang w:val="es-ES_tradnl"/>
        </w:rPr>
        <w:t>En ese orden de ideas, para efecto de la escogencia de la oferta más favorable, previo cumplimiento de los requisitos habilitantes, se plantea la ponderación de elementos de calidad y precio.</w:t>
      </w:r>
    </w:p>
    <w:p w14:paraId="71B0BBC6" w14:textId="77777777" w:rsidR="00AC1E14" w:rsidRPr="005F2C03" w:rsidRDefault="00AC1E14" w:rsidP="00AC1E14">
      <w:pPr>
        <w:jc w:val="both"/>
        <w:rPr>
          <w:rFonts w:eastAsia="Batang" w:cs="Arial"/>
          <w:color w:val="000000" w:themeColor="text1"/>
          <w:lang w:val="es-ES_tradnl"/>
        </w:rPr>
      </w:pPr>
    </w:p>
    <w:p w14:paraId="7119450B" w14:textId="6911D150" w:rsidR="00AC1E14" w:rsidRPr="005F2C03" w:rsidRDefault="00AC1E14" w:rsidP="00AC1E14">
      <w:pPr>
        <w:jc w:val="both"/>
        <w:rPr>
          <w:lang w:val="es-ES_tradnl" w:eastAsia="es-CO"/>
        </w:rPr>
      </w:pPr>
      <w:r w:rsidRPr="005F2C03">
        <w:rPr>
          <w:rFonts w:eastAsia="Batang" w:cs="Arial"/>
          <w:color w:val="000000" w:themeColor="text1"/>
          <w:lang w:val="es-ES_tradnl"/>
        </w:rPr>
        <w:t xml:space="preserve">Por lo anterior, se trae a colación </w:t>
      </w:r>
      <w:r w:rsidRPr="005F2C03">
        <w:rPr>
          <w:lang w:val="es-ES_tradnl" w:eastAsia="es-CO"/>
        </w:rPr>
        <w:t xml:space="preserve">las siguientes variables que son tenidas en cuenta </w:t>
      </w:r>
      <w:proofErr w:type="spellStart"/>
      <w:r w:rsidRPr="005F2C03">
        <w:rPr>
          <w:lang w:val="es-ES_tradnl" w:eastAsia="es-CO"/>
        </w:rPr>
        <w:t>pr</w:t>
      </w:r>
      <w:proofErr w:type="spellEnd"/>
      <w:r w:rsidRPr="005F2C03">
        <w:rPr>
          <w:lang w:val="es-ES_tradnl" w:eastAsia="es-CO"/>
        </w:rPr>
        <w:t xml:space="preserve"> las Entidades, al momento de llevar a cabo el proceso de contratación de seguros:</w:t>
      </w:r>
    </w:p>
    <w:p w14:paraId="717AAB82" w14:textId="77777777" w:rsidR="00AC1E14" w:rsidRPr="005F2C03" w:rsidRDefault="00AC1E14" w:rsidP="00AC1E14">
      <w:pPr>
        <w:jc w:val="both"/>
        <w:rPr>
          <w:lang w:val="es-ES_tradnl" w:eastAsia="es-CO"/>
        </w:rPr>
      </w:pPr>
    </w:p>
    <w:p w14:paraId="0A128574"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Exigencias de requisitos habilitantes</w:t>
      </w:r>
    </w:p>
    <w:p w14:paraId="039663EC"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Condiciones Técnicas Obligatorias que no generan asignación de puntajes y deben mantener las coberturas vigentes del programa de seguros.</w:t>
      </w:r>
    </w:p>
    <w:p w14:paraId="3B8411BA"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Calificación de condiciones técnicas complementarias que tienen por objeto mejorar las condiciones obligatorias pero que no son objeto de obligatoriedad de ser presentadas por las aseguradoras</w:t>
      </w:r>
    </w:p>
    <w:p w14:paraId="54A8E0DD"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Evaluación de condiciones de deducibles</w:t>
      </w:r>
    </w:p>
    <w:p w14:paraId="6DC76562"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Calificación de oferta nacional (Ley 816 de 2003).</w:t>
      </w:r>
    </w:p>
    <w:p w14:paraId="15895E69"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Incentivo a favor de las personas con discapacidad (Decreto 392 de 2018)</w:t>
      </w:r>
    </w:p>
    <w:p w14:paraId="51F794B8"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Puntaje para empresas de mujeres (Decreto 1860 de 2021)</w:t>
      </w:r>
    </w:p>
    <w:p w14:paraId="221147FD" w14:textId="77777777" w:rsidR="00AC1E14" w:rsidRPr="005F2C03" w:rsidRDefault="00AC1E14">
      <w:pPr>
        <w:numPr>
          <w:ilvl w:val="0"/>
          <w:numId w:val="11"/>
        </w:numPr>
        <w:ind w:left="426" w:hanging="426"/>
        <w:contextualSpacing/>
        <w:jc w:val="both"/>
        <w:rPr>
          <w:lang w:val="es-ES_tradnl" w:eastAsia="es-CO"/>
        </w:rPr>
      </w:pPr>
      <w:r w:rsidRPr="005F2C03">
        <w:rPr>
          <w:lang w:val="es-ES_tradnl" w:eastAsia="es-CO"/>
        </w:rPr>
        <w:t>Menor prima o mayor vigencia</w:t>
      </w:r>
    </w:p>
    <w:p w14:paraId="0C037307" w14:textId="77777777" w:rsidR="00AC1E14" w:rsidRPr="005F2C03" w:rsidRDefault="00AC1E14" w:rsidP="00AC1E14">
      <w:pPr>
        <w:jc w:val="both"/>
        <w:rPr>
          <w:lang w:val="es-ES_tradnl" w:eastAsia="es-CO"/>
        </w:rPr>
      </w:pPr>
    </w:p>
    <w:p w14:paraId="7B609D45" w14:textId="504AD014" w:rsidR="00AC1E14" w:rsidRPr="005F2C03" w:rsidRDefault="00AC1E14" w:rsidP="00AC1E14">
      <w:pPr>
        <w:pStyle w:val="Textoindependiente"/>
        <w:rPr>
          <w:rFonts w:ascii="Arial Narrow" w:hAnsi="Arial Narrow" w:cs="Arial"/>
          <w:sz w:val="22"/>
          <w:szCs w:val="22"/>
          <w:lang w:val="es-ES_tradnl" w:eastAsia="es-ES"/>
        </w:rPr>
      </w:pPr>
      <w:r w:rsidRPr="005F2C03">
        <w:rPr>
          <w:rFonts w:ascii="Arial Narrow" w:hAnsi="Arial Narrow"/>
          <w:sz w:val="22"/>
          <w:szCs w:val="22"/>
          <w:lang w:eastAsia="es-CO"/>
        </w:rPr>
        <w:t xml:space="preserve">En ese orden de ideas, consultado el Sistema Electrónico de Contratación Pública - SECOP, diferentes Entidades Públicas han adelantado procesos de selección similares al objeto </w:t>
      </w:r>
      <w:r w:rsidR="00F6229D" w:rsidRPr="005F2C03">
        <w:rPr>
          <w:rFonts w:ascii="Arial Narrow" w:hAnsi="Arial Narrow"/>
          <w:sz w:val="22"/>
          <w:szCs w:val="22"/>
          <w:lang w:eastAsia="es-CO"/>
        </w:rPr>
        <w:t xml:space="preserve">que </w:t>
      </w:r>
      <w:r w:rsidRPr="005F2C03">
        <w:rPr>
          <w:rFonts w:ascii="Arial Narrow" w:hAnsi="Arial Narrow"/>
          <w:sz w:val="22"/>
          <w:szCs w:val="22"/>
          <w:lang w:eastAsia="es-CO"/>
        </w:rPr>
        <w:t>pretende contratar</w:t>
      </w:r>
      <w:r w:rsidR="00F6229D" w:rsidRPr="005F2C03">
        <w:rPr>
          <w:rFonts w:ascii="Arial Narrow" w:hAnsi="Arial Narrow"/>
          <w:sz w:val="22"/>
          <w:szCs w:val="22"/>
          <w:lang w:eastAsia="es-CO"/>
        </w:rPr>
        <w:t xml:space="preserve"> la ELC</w:t>
      </w:r>
      <w:r w:rsidRPr="005F2C03">
        <w:rPr>
          <w:rFonts w:ascii="Arial Narrow" w:hAnsi="Arial Narrow"/>
          <w:sz w:val="22"/>
          <w:szCs w:val="22"/>
          <w:lang w:eastAsia="es-CO"/>
        </w:rPr>
        <w:t>, en virtud de lo anterior se presentan algunos procesos</w:t>
      </w:r>
      <w:r w:rsidRPr="005F2C03">
        <w:rPr>
          <w:rFonts w:ascii="Arial Narrow" w:hAnsi="Arial Narrow" w:cs="Arial"/>
          <w:sz w:val="22"/>
          <w:szCs w:val="22"/>
        </w:rPr>
        <w:t xml:space="preserve">: </w:t>
      </w:r>
    </w:p>
    <w:p w14:paraId="447E5614" w14:textId="77777777" w:rsidR="00AC1E14" w:rsidRPr="005F2C03" w:rsidRDefault="00AC1E14" w:rsidP="00AC1E14">
      <w:pPr>
        <w:pStyle w:val="Textoindependiente"/>
        <w:rPr>
          <w:rFonts w:ascii="Arial Narrow" w:hAnsi="Arial Narrow" w:cs="Arial"/>
          <w:sz w:val="22"/>
          <w:szCs w:val="22"/>
        </w:rPr>
      </w:pPr>
    </w:p>
    <w:p w14:paraId="3DB91A67" w14:textId="5111F7BC" w:rsidR="00AC1E14" w:rsidRPr="005F2C03" w:rsidRDefault="00AC1E14" w:rsidP="00AC1E14">
      <w:pPr>
        <w:pStyle w:val="Textoindependiente"/>
        <w:jc w:val="center"/>
        <w:rPr>
          <w:rFonts w:ascii="Arial Narrow" w:hAnsi="Arial Narrow" w:cs="Arial"/>
          <w:sz w:val="22"/>
          <w:szCs w:val="22"/>
        </w:rPr>
      </w:pPr>
      <w:r w:rsidRPr="005F2C03">
        <w:rPr>
          <w:rFonts w:ascii="Arial Narrow" w:eastAsia="DejaVu Sans" w:hAnsi="Arial Narrow"/>
          <w:noProof/>
        </w:rPr>
        <w:lastRenderedPageBreak/>
        <w:drawing>
          <wp:inline distT="0" distB="0" distL="0" distR="0" wp14:anchorId="06511EDA" wp14:editId="44C83E7C">
            <wp:extent cx="5336540" cy="3698240"/>
            <wp:effectExtent l="0" t="0" r="0" b="0"/>
            <wp:docPr id="154585662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6540" cy="3698240"/>
                    </a:xfrm>
                    <a:prstGeom prst="rect">
                      <a:avLst/>
                    </a:prstGeom>
                    <a:noFill/>
                    <a:ln>
                      <a:noFill/>
                    </a:ln>
                  </pic:spPr>
                </pic:pic>
              </a:graphicData>
            </a:graphic>
          </wp:inline>
        </w:drawing>
      </w:r>
    </w:p>
    <w:p w14:paraId="0136B2CB" w14:textId="77777777" w:rsidR="00AC1E14" w:rsidRPr="005F2C03" w:rsidRDefault="00AC1E14" w:rsidP="00AC1E14">
      <w:pPr>
        <w:jc w:val="center"/>
        <w:rPr>
          <w:rFonts w:cs="Arial"/>
          <w:sz w:val="16"/>
          <w:szCs w:val="16"/>
          <w:lang w:eastAsia="es-CO"/>
        </w:rPr>
      </w:pPr>
      <w:r w:rsidRPr="005F2C03">
        <w:rPr>
          <w:rFonts w:cs="Arial"/>
          <w:sz w:val="16"/>
          <w:szCs w:val="16"/>
          <w:lang w:eastAsia="es-CO"/>
        </w:rPr>
        <w:t xml:space="preserve">Fuente: Elaboración propia – Información extraída de la Plataforma </w:t>
      </w:r>
      <w:proofErr w:type="spellStart"/>
      <w:r w:rsidRPr="005F2C03">
        <w:rPr>
          <w:rFonts w:cs="Arial"/>
          <w:sz w:val="16"/>
          <w:szCs w:val="16"/>
          <w:lang w:eastAsia="es-CO"/>
        </w:rPr>
        <w:t>Secop</w:t>
      </w:r>
      <w:proofErr w:type="spellEnd"/>
      <w:r w:rsidRPr="005F2C03">
        <w:rPr>
          <w:rFonts w:cs="Arial"/>
          <w:sz w:val="16"/>
          <w:szCs w:val="16"/>
          <w:lang w:eastAsia="es-CO"/>
        </w:rPr>
        <w:t xml:space="preserve"> II</w:t>
      </w:r>
    </w:p>
    <w:p w14:paraId="2A75D344" w14:textId="77777777" w:rsidR="00AC1E14" w:rsidRPr="005F2C03" w:rsidRDefault="00AC1E14" w:rsidP="00AC1E14">
      <w:pPr>
        <w:jc w:val="center"/>
        <w:rPr>
          <w:rFonts w:cs="Times New Roman"/>
          <w:b/>
          <w:lang w:eastAsia="es-CO"/>
        </w:rPr>
      </w:pPr>
    </w:p>
    <w:p w14:paraId="74F9340F" w14:textId="77777777" w:rsidR="009053EE" w:rsidRDefault="009053EE" w:rsidP="001D21F6">
      <w:pPr>
        <w:pStyle w:val="Ttulo1"/>
        <w:jc w:val="center"/>
        <w:rPr>
          <w:rFonts w:cs="Arial"/>
          <w:bCs/>
          <w:szCs w:val="22"/>
          <w:lang w:eastAsia="ar-SA"/>
        </w:rPr>
      </w:pPr>
    </w:p>
    <w:p w14:paraId="509C207C" w14:textId="77777777" w:rsidR="009053EE" w:rsidRDefault="009053EE" w:rsidP="001D21F6">
      <w:pPr>
        <w:pStyle w:val="Ttulo1"/>
        <w:jc w:val="center"/>
        <w:rPr>
          <w:rFonts w:cs="Arial"/>
          <w:bCs/>
          <w:szCs w:val="22"/>
          <w:lang w:eastAsia="ar-SA"/>
        </w:rPr>
      </w:pPr>
    </w:p>
    <w:p w14:paraId="102574FE" w14:textId="77777777" w:rsidR="009053EE" w:rsidRDefault="009053EE" w:rsidP="001D21F6">
      <w:pPr>
        <w:pStyle w:val="Ttulo1"/>
        <w:jc w:val="center"/>
        <w:rPr>
          <w:rFonts w:cs="Arial"/>
          <w:bCs/>
          <w:szCs w:val="22"/>
          <w:lang w:eastAsia="ar-SA"/>
        </w:rPr>
      </w:pPr>
    </w:p>
    <w:p w14:paraId="6436F254" w14:textId="77777777" w:rsidR="009053EE" w:rsidRDefault="009053EE" w:rsidP="001D21F6">
      <w:pPr>
        <w:pStyle w:val="Ttulo1"/>
        <w:jc w:val="center"/>
        <w:rPr>
          <w:rFonts w:cs="Arial"/>
          <w:bCs/>
          <w:szCs w:val="22"/>
          <w:lang w:eastAsia="ar-SA"/>
        </w:rPr>
      </w:pPr>
    </w:p>
    <w:p w14:paraId="08EE396A" w14:textId="77777777" w:rsidR="009053EE" w:rsidRDefault="009053EE" w:rsidP="001D21F6">
      <w:pPr>
        <w:pStyle w:val="Ttulo1"/>
        <w:jc w:val="center"/>
        <w:rPr>
          <w:rFonts w:cs="Arial"/>
          <w:bCs/>
          <w:szCs w:val="22"/>
          <w:lang w:eastAsia="ar-SA"/>
        </w:rPr>
      </w:pPr>
    </w:p>
    <w:p w14:paraId="127CA5DF" w14:textId="77777777" w:rsidR="009053EE" w:rsidRDefault="009053EE" w:rsidP="001D21F6">
      <w:pPr>
        <w:pStyle w:val="Ttulo1"/>
        <w:jc w:val="center"/>
        <w:rPr>
          <w:rFonts w:cs="Arial"/>
          <w:bCs/>
          <w:szCs w:val="22"/>
          <w:lang w:eastAsia="ar-SA"/>
        </w:rPr>
      </w:pPr>
    </w:p>
    <w:p w14:paraId="76EF0C7F" w14:textId="77777777" w:rsidR="009053EE" w:rsidRDefault="009053EE" w:rsidP="001D21F6">
      <w:pPr>
        <w:pStyle w:val="Ttulo1"/>
        <w:jc w:val="center"/>
        <w:rPr>
          <w:rFonts w:cs="Arial"/>
          <w:bCs/>
          <w:szCs w:val="22"/>
          <w:lang w:eastAsia="ar-SA"/>
        </w:rPr>
      </w:pPr>
    </w:p>
    <w:p w14:paraId="04741DA8" w14:textId="77777777" w:rsidR="009053EE" w:rsidRDefault="009053EE" w:rsidP="001D21F6">
      <w:pPr>
        <w:pStyle w:val="Ttulo1"/>
        <w:jc w:val="center"/>
        <w:rPr>
          <w:rFonts w:cs="Arial"/>
          <w:bCs/>
          <w:szCs w:val="22"/>
          <w:lang w:eastAsia="ar-SA"/>
        </w:rPr>
      </w:pPr>
    </w:p>
    <w:p w14:paraId="70916A99" w14:textId="77777777" w:rsidR="009053EE" w:rsidRDefault="009053EE" w:rsidP="001D21F6">
      <w:pPr>
        <w:pStyle w:val="Ttulo1"/>
        <w:jc w:val="center"/>
        <w:rPr>
          <w:rFonts w:cs="Arial"/>
          <w:bCs/>
          <w:szCs w:val="22"/>
          <w:lang w:eastAsia="ar-SA"/>
        </w:rPr>
      </w:pPr>
    </w:p>
    <w:p w14:paraId="1CFFE45C" w14:textId="77777777" w:rsidR="009053EE" w:rsidRDefault="009053EE" w:rsidP="001D21F6">
      <w:pPr>
        <w:pStyle w:val="Ttulo1"/>
        <w:jc w:val="center"/>
        <w:rPr>
          <w:rFonts w:cs="Arial"/>
          <w:bCs/>
          <w:szCs w:val="22"/>
          <w:lang w:eastAsia="ar-SA"/>
        </w:rPr>
      </w:pPr>
    </w:p>
    <w:p w14:paraId="2FD5E952" w14:textId="77777777" w:rsidR="009053EE" w:rsidRDefault="009053EE" w:rsidP="001D21F6">
      <w:pPr>
        <w:pStyle w:val="Ttulo1"/>
        <w:jc w:val="center"/>
        <w:rPr>
          <w:rFonts w:cs="Arial"/>
          <w:bCs/>
          <w:szCs w:val="22"/>
          <w:lang w:eastAsia="ar-SA"/>
        </w:rPr>
      </w:pPr>
    </w:p>
    <w:p w14:paraId="00270909" w14:textId="77777777" w:rsidR="009053EE" w:rsidRDefault="009053EE" w:rsidP="001D21F6">
      <w:pPr>
        <w:pStyle w:val="Ttulo1"/>
        <w:jc w:val="center"/>
        <w:rPr>
          <w:rFonts w:cs="Arial"/>
          <w:bCs/>
          <w:szCs w:val="22"/>
          <w:lang w:eastAsia="ar-SA"/>
        </w:rPr>
      </w:pPr>
    </w:p>
    <w:p w14:paraId="2E4DE76E" w14:textId="77777777" w:rsidR="009053EE" w:rsidRDefault="009053EE" w:rsidP="001D21F6">
      <w:pPr>
        <w:pStyle w:val="Ttulo1"/>
        <w:jc w:val="center"/>
        <w:rPr>
          <w:rFonts w:cs="Arial"/>
          <w:bCs/>
          <w:szCs w:val="22"/>
          <w:lang w:eastAsia="ar-SA"/>
        </w:rPr>
      </w:pPr>
    </w:p>
    <w:p w14:paraId="04A8A6DC" w14:textId="77777777" w:rsidR="009053EE" w:rsidRDefault="009053EE" w:rsidP="001D21F6">
      <w:pPr>
        <w:pStyle w:val="Ttulo1"/>
        <w:jc w:val="center"/>
        <w:rPr>
          <w:rFonts w:cs="Arial"/>
          <w:bCs/>
          <w:szCs w:val="22"/>
          <w:lang w:eastAsia="ar-SA"/>
        </w:rPr>
      </w:pPr>
    </w:p>
    <w:p w14:paraId="5CD70873" w14:textId="77777777" w:rsidR="002A05E4" w:rsidRPr="005F2C03" w:rsidRDefault="002A05E4" w:rsidP="002A05E4">
      <w:pPr>
        <w:rPr>
          <w:lang w:eastAsia="ar-SA"/>
        </w:rPr>
      </w:pPr>
    </w:p>
    <w:p w14:paraId="0E975681" w14:textId="77777777" w:rsidR="009053EE" w:rsidRDefault="009053EE" w:rsidP="002A05E4">
      <w:pPr>
        <w:jc w:val="both"/>
        <w:rPr>
          <w:lang w:val="es-ES_tradnl" w:eastAsia="es-CO"/>
        </w:rPr>
      </w:pPr>
    </w:p>
    <w:p w14:paraId="0F1DD637" w14:textId="77777777" w:rsidR="009053EE" w:rsidRDefault="009053EE" w:rsidP="002A05E4">
      <w:pPr>
        <w:jc w:val="both"/>
        <w:rPr>
          <w:lang w:val="es-ES_tradnl" w:eastAsia="es-CO"/>
        </w:rPr>
      </w:pPr>
    </w:p>
    <w:p w14:paraId="06AFA51F" w14:textId="77777777" w:rsidR="009053EE" w:rsidRPr="005F2C03" w:rsidRDefault="009053EE" w:rsidP="009053EE">
      <w:pPr>
        <w:pStyle w:val="Ttulo1"/>
        <w:jc w:val="center"/>
        <w:rPr>
          <w:rFonts w:cs="Arial"/>
          <w:bCs/>
          <w:szCs w:val="22"/>
          <w:lang w:eastAsia="ar-SA"/>
        </w:rPr>
      </w:pPr>
      <w:r w:rsidRPr="005F2C03">
        <w:rPr>
          <w:rFonts w:cs="Arial"/>
          <w:bCs/>
          <w:szCs w:val="22"/>
          <w:lang w:eastAsia="ar-SA"/>
        </w:rPr>
        <w:lastRenderedPageBreak/>
        <w:t>CAPÍTULO VI</w:t>
      </w:r>
    </w:p>
    <w:p w14:paraId="1B5E3F06" w14:textId="77777777" w:rsidR="009053EE" w:rsidRPr="005F2C03" w:rsidRDefault="009053EE" w:rsidP="009053EE">
      <w:pPr>
        <w:pStyle w:val="Ttulo1"/>
        <w:jc w:val="center"/>
        <w:rPr>
          <w:rFonts w:cs="Arial"/>
          <w:bCs/>
          <w:szCs w:val="22"/>
          <w:lang w:eastAsia="ar-SA"/>
        </w:rPr>
      </w:pPr>
    </w:p>
    <w:p w14:paraId="09A49BD4" w14:textId="77777777" w:rsidR="009053EE" w:rsidRPr="005F2C03" w:rsidRDefault="009053EE" w:rsidP="009053EE">
      <w:pPr>
        <w:pStyle w:val="Ttulo1"/>
        <w:jc w:val="center"/>
        <w:rPr>
          <w:rFonts w:cs="Arial"/>
          <w:bCs/>
          <w:szCs w:val="22"/>
          <w:lang w:eastAsia="ar-SA"/>
        </w:rPr>
      </w:pPr>
      <w:r w:rsidRPr="005F2C03">
        <w:rPr>
          <w:rFonts w:cs="Arial"/>
          <w:bCs/>
          <w:szCs w:val="22"/>
          <w:lang w:eastAsia="ar-SA"/>
        </w:rPr>
        <w:t>ESTUDIO DE MERCADO</w:t>
      </w:r>
    </w:p>
    <w:p w14:paraId="53C6874C" w14:textId="77777777" w:rsidR="009053EE" w:rsidRDefault="009053EE" w:rsidP="002A05E4">
      <w:pPr>
        <w:jc w:val="both"/>
        <w:rPr>
          <w:lang w:val="es-ES_tradnl" w:eastAsia="es-CO"/>
        </w:rPr>
      </w:pPr>
    </w:p>
    <w:p w14:paraId="276D9314" w14:textId="0AFAD4E8" w:rsidR="002A05E4" w:rsidRPr="005F2C03" w:rsidRDefault="002A05E4" w:rsidP="002A05E4">
      <w:pPr>
        <w:jc w:val="both"/>
        <w:rPr>
          <w:lang w:val="es-ES_tradnl" w:eastAsia="es-CO"/>
        </w:rPr>
      </w:pPr>
      <w:r w:rsidRPr="005F2C03">
        <w:rPr>
          <w:lang w:val="es-ES_tradnl" w:eastAsia="es-CO"/>
        </w:rPr>
        <w:t>Las especificaciones técnicas corresponden a cada una de las condiciones mínimas obligatorias que integran cada una de las pólizas de seguros y que deben ser ofertadas por las aseguradoras interesadas en el proceso, las  cuales no otorgan puntaje, y son de carácter habilitante, ya que las mismas son aspectos  necesarios  para garantizar una protección adecuada de todos y cada uno de los bienes e intereses de la entidad y responden a todas  aquellas  condiciones muy  particulares  que hacen  que la póliza sea  distinta de  las demás entidades públicas y que deben ser incorporados en los formatos técnicos.</w:t>
      </w:r>
    </w:p>
    <w:p w14:paraId="31B04101" w14:textId="77777777" w:rsidR="002A05E4" w:rsidRPr="005F2C03" w:rsidRDefault="002A05E4" w:rsidP="002A05E4">
      <w:pPr>
        <w:jc w:val="both"/>
        <w:rPr>
          <w:lang w:val="es-ES_tradnl" w:eastAsia="es-CO"/>
        </w:rPr>
      </w:pPr>
    </w:p>
    <w:p w14:paraId="51BA9BEE" w14:textId="77777777" w:rsidR="002A05E4" w:rsidRPr="005F2C03" w:rsidRDefault="002A05E4" w:rsidP="002A05E4">
      <w:pPr>
        <w:jc w:val="both"/>
        <w:rPr>
          <w:lang w:val="es-ES_tradnl" w:eastAsia="es-CO"/>
        </w:rPr>
      </w:pPr>
      <w:r w:rsidRPr="005F2C03">
        <w:rPr>
          <w:lang w:val="es-ES_tradnl" w:eastAsia="es-CO"/>
        </w:rPr>
        <w:t>La estructura de tales condiciones responde no sólo a las cláusulas y amparos que actualmente viene en cada póliza, sino a las condiciones actuales del mercado asegurador, las políticas de suscripción y las necesidades de la entidad, de allí que no necesariamente lo que existe actualmente, se podrá mantener o será necesario para los intereses de la entidad.</w:t>
      </w:r>
    </w:p>
    <w:p w14:paraId="7EFCC7C2" w14:textId="77777777" w:rsidR="002A05E4" w:rsidRPr="005F2C03" w:rsidRDefault="002A05E4" w:rsidP="002A05E4">
      <w:pPr>
        <w:jc w:val="both"/>
        <w:rPr>
          <w:lang w:val="es-ES_tradnl" w:eastAsia="es-CO"/>
        </w:rPr>
      </w:pPr>
    </w:p>
    <w:p w14:paraId="42885690" w14:textId="77777777" w:rsidR="002A05E4" w:rsidRPr="005F2C03" w:rsidRDefault="002A05E4" w:rsidP="002A05E4">
      <w:pPr>
        <w:jc w:val="both"/>
        <w:rPr>
          <w:lang w:val="es-ES_tradnl" w:eastAsia="es-CO"/>
        </w:rPr>
      </w:pPr>
      <w:r w:rsidRPr="005F2C03">
        <w:rPr>
          <w:lang w:val="es-ES_tradnl" w:eastAsia="es-CO"/>
        </w:rPr>
        <w:t>Por otra parte, y como complemento de las condiciones obligatorias, se estructuran las condiciones complementarias, que son aquellas que serán objeto de evaluación, opcionales para el proponente, y que buscan fortalecer las condiciones mínimas requeridas.</w:t>
      </w:r>
    </w:p>
    <w:p w14:paraId="036D9A2C" w14:textId="77777777" w:rsidR="002A05E4" w:rsidRPr="005F2C03" w:rsidRDefault="002A05E4" w:rsidP="002A05E4">
      <w:pPr>
        <w:jc w:val="both"/>
        <w:rPr>
          <w:lang w:val="es-ES_tradnl" w:eastAsia="es-CO"/>
        </w:rPr>
      </w:pPr>
    </w:p>
    <w:p w14:paraId="1EC044E1" w14:textId="18EC199B" w:rsidR="002A05E4" w:rsidRPr="005F2C03" w:rsidRDefault="002A05E4" w:rsidP="002A05E4">
      <w:pPr>
        <w:jc w:val="both"/>
        <w:rPr>
          <w:lang w:val="es-ES_tradnl" w:eastAsia="es-CO"/>
        </w:rPr>
      </w:pPr>
      <w:r w:rsidRPr="005F2C03">
        <w:rPr>
          <w:lang w:val="es-ES_tradnl" w:eastAsia="es-CO"/>
        </w:rPr>
        <w:t>Por lo anterior el estudio propio de la Entidad marca la pauta de lo que se puede pretender, basados en las necesidades de la entidad y tomando en consideración las capacidades de las aseguradoras, la póliza actualmente contratada y los demás elementos que pueden influenciar el cubrimiento de cada riesgo.</w:t>
      </w:r>
    </w:p>
    <w:p w14:paraId="511F3CBC" w14:textId="77777777" w:rsidR="002A05E4" w:rsidRPr="005F2C03" w:rsidRDefault="002A05E4" w:rsidP="002A05E4">
      <w:pPr>
        <w:jc w:val="both"/>
        <w:rPr>
          <w:lang w:val="es-ES_tradnl" w:eastAsia="es-CO"/>
        </w:rPr>
      </w:pPr>
    </w:p>
    <w:p w14:paraId="3669DFB3" w14:textId="77777777" w:rsidR="002A05E4" w:rsidRPr="005F2C03" w:rsidRDefault="002A05E4" w:rsidP="002A05E4">
      <w:pPr>
        <w:jc w:val="both"/>
        <w:rPr>
          <w:lang w:val="es-ES_tradnl" w:eastAsia="es-CO"/>
        </w:rPr>
      </w:pPr>
      <w:r w:rsidRPr="005F2C03">
        <w:rPr>
          <w:lang w:val="es-ES_tradnl" w:eastAsia="es-CO"/>
        </w:rPr>
        <w:t>Así las cosas, los formatos técnicos incorporan los aspectos técnicos mínimos que deben ser ofertados de manera obligatoria por parte de los oferentes, al igual que aquellos para los cuales su ofrecimiento podrá ser opcional y cuyo otorgamiento será objeto de evaluación.</w:t>
      </w:r>
    </w:p>
    <w:p w14:paraId="55CA0D34" w14:textId="77777777" w:rsidR="002A05E4" w:rsidRPr="005F2C03" w:rsidRDefault="002A05E4" w:rsidP="002A05E4">
      <w:pPr>
        <w:jc w:val="both"/>
        <w:rPr>
          <w:lang w:val="es-ES_tradnl" w:eastAsia="es-CO"/>
        </w:rPr>
      </w:pPr>
    </w:p>
    <w:p w14:paraId="4BAABEF7" w14:textId="7A0CB5B1" w:rsidR="002A05E4" w:rsidRPr="005F2C03" w:rsidRDefault="002A05E4" w:rsidP="002A05E4">
      <w:pPr>
        <w:jc w:val="both"/>
        <w:rPr>
          <w:lang w:val="es-ES_tradnl" w:eastAsia="es-CO"/>
        </w:rPr>
      </w:pPr>
      <w:r w:rsidRPr="005F2C03">
        <w:rPr>
          <w:lang w:val="es-ES_tradnl" w:eastAsia="es-CO"/>
        </w:rPr>
        <w:t>Adicional debe tenerse en cuenta que a partir de la Ley 45 de 1990 el Gobierno Nacional liberó las tarifas que las compañías de seguros pueden cobrar en cualquiera de los ramos de seguros que ofrezcan. Por lo tanto, el costo de cualquier seguro está influenciado por múltiples factores entre los cuales podemos citar: las condiciones de reaseguro de los riesgos amparados, las políticas de suscripción de las aseguradoras, el tipo de riesgo a cubrir, la experiencia en siniestros general del ramo y específica del cliente, las tarifas existentes en el mercado para riesgos similares, los cálculos actuariales efectuados para la explotación del ramo y los costos administrativos, entre otros.</w:t>
      </w:r>
    </w:p>
    <w:p w14:paraId="3150AE25" w14:textId="77777777" w:rsidR="001D21F6" w:rsidRPr="005F2C03" w:rsidRDefault="001D21F6" w:rsidP="002A05E4">
      <w:pPr>
        <w:jc w:val="both"/>
        <w:rPr>
          <w:lang w:val="es-ES_tradnl" w:eastAsia="es-CO"/>
        </w:rPr>
      </w:pPr>
    </w:p>
    <w:p w14:paraId="56424432" w14:textId="77777777" w:rsidR="001D21F6" w:rsidRPr="005F2C03" w:rsidRDefault="001D21F6" w:rsidP="001D21F6">
      <w:pPr>
        <w:pStyle w:val="Sinespaciado"/>
        <w:rPr>
          <w:rFonts w:ascii="Arial Narrow" w:hAnsi="Arial Narrow" w:cs="Arial"/>
          <w:b/>
        </w:rPr>
      </w:pPr>
      <w:r w:rsidRPr="005F2C03">
        <w:rPr>
          <w:rFonts w:ascii="Arial Narrow" w:hAnsi="Arial Narrow" w:cs="Arial"/>
          <w:b/>
        </w:rPr>
        <w:t xml:space="preserve">Solicitud de Cotización </w:t>
      </w:r>
    </w:p>
    <w:p w14:paraId="473F210F" w14:textId="77777777" w:rsidR="001D21F6" w:rsidRPr="005F2C03" w:rsidRDefault="001D21F6" w:rsidP="001D21F6">
      <w:pPr>
        <w:pStyle w:val="Sinespaciado"/>
        <w:jc w:val="both"/>
        <w:rPr>
          <w:rFonts w:ascii="Arial Narrow" w:hAnsi="Arial Narrow" w:cs="Arial"/>
          <w:b/>
          <w:highlight w:val="yellow"/>
        </w:rPr>
      </w:pPr>
    </w:p>
    <w:p w14:paraId="5BE40FB1" w14:textId="77777777" w:rsidR="001D21F6" w:rsidRPr="005F2C03" w:rsidRDefault="001D21F6" w:rsidP="001D21F6">
      <w:pPr>
        <w:spacing w:line="240" w:lineRule="atLeast"/>
        <w:ind w:right="49"/>
        <w:jc w:val="both"/>
        <w:rPr>
          <w:rFonts w:cs="Arial"/>
          <w:lang w:val="es-MX"/>
        </w:rPr>
      </w:pPr>
      <w:r w:rsidRPr="005F2C03">
        <w:rPr>
          <w:rFonts w:cs="Arial"/>
          <w:lang w:val="es-MX"/>
        </w:rPr>
        <w:t xml:space="preserve">Para </w:t>
      </w:r>
      <w:bookmarkStart w:id="20" w:name="_Hlk165035193"/>
      <w:r w:rsidRPr="005F2C03">
        <w:rPr>
          <w:rFonts w:cs="Arial"/>
          <w:lang w:val="es-MX"/>
        </w:rPr>
        <w:t xml:space="preserve">la contratación de las pólizas </w:t>
      </w:r>
      <w:bookmarkStart w:id="21" w:name="_Hlk165034325"/>
      <w:r w:rsidRPr="005F2C03">
        <w:rPr>
          <w:rFonts w:cs="Arial"/>
          <w:lang w:val="es-MX"/>
        </w:rPr>
        <w:t xml:space="preserve">requeridas por la ELC, en la plataforma </w:t>
      </w:r>
      <w:proofErr w:type="spellStart"/>
      <w:r w:rsidRPr="005F2C03">
        <w:rPr>
          <w:rFonts w:cs="Arial"/>
          <w:lang w:val="es-MX"/>
        </w:rPr>
        <w:t>Secop</w:t>
      </w:r>
      <w:proofErr w:type="spellEnd"/>
      <w:r w:rsidRPr="005F2C03">
        <w:rPr>
          <w:rFonts w:cs="Arial"/>
          <w:lang w:val="es-MX"/>
        </w:rPr>
        <w:t xml:space="preserve"> II, se identificaron algunos proveedores que han participado en procesos similares y los cuales son los que generalmente participan en los procesos de contratación con entidades estatales</w:t>
      </w:r>
      <w:bookmarkEnd w:id="21"/>
      <w:r w:rsidRPr="005F2C03">
        <w:rPr>
          <w:rFonts w:cs="Arial"/>
          <w:lang w:val="es-MX"/>
        </w:rPr>
        <w:t>, así:</w:t>
      </w:r>
      <w:bookmarkEnd w:id="20"/>
    </w:p>
    <w:p w14:paraId="573AF1EF" w14:textId="77777777" w:rsidR="001D21F6" w:rsidRPr="005F2C03" w:rsidRDefault="001D21F6" w:rsidP="001D21F6">
      <w:pPr>
        <w:spacing w:line="240" w:lineRule="atLeast"/>
        <w:ind w:right="49"/>
        <w:jc w:val="both"/>
        <w:rPr>
          <w:rFonts w:cs="Arial"/>
          <w:lang w:val="es-MX"/>
        </w:rPr>
      </w:pPr>
    </w:p>
    <w:p w14:paraId="0B60489A"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ASEGURADORA SOLIDARIA DE COLOMBIA E.C.</w:t>
      </w:r>
    </w:p>
    <w:p w14:paraId="07CDE935"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lastRenderedPageBreak/>
        <w:t>AXA COLPATRIA SEGUROS S.A.</w:t>
      </w:r>
    </w:p>
    <w:p w14:paraId="01783EA5"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CHUBB DE COLOMBIA S.A.</w:t>
      </w:r>
    </w:p>
    <w:p w14:paraId="7D07EFBE"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COMPAÑÍA MUNDIAL DE SEGUROS S.A.</w:t>
      </w:r>
    </w:p>
    <w:p w14:paraId="348547E2"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HDI SEGUROS S.A.</w:t>
      </w:r>
    </w:p>
    <w:p w14:paraId="782371DB"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LA PREVISORA S.A. COMPAÑÍA DE SEGUROS</w:t>
      </w:r>
    </w:p>
    <w:p w14:paraId="02D3C6B7"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LIBERTY COLOMBIA S.A.</w:t>
      </w:r>
    </w:p>
    <w:p w14:paraId="117AFA2E"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MAPFRE SEGUROS GENERALES DE COLOMBIA S.A.</w:t>
      </w:r>
    </w:p>
    <w:p w14:paraId="35DC63D2"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POSITIVA COMPAÑÍA DE SEGUROS S.A.</w:t>
      </w:r>
    </w:p>
    <w:p w14:paraId="62EE471A"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SBS SEGUROS COLOMBIA S.A.</w:t>
      </w:r>
    </w:p>
    <w:p w14:paraId="6A2AAC26"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SEGUROS DEL ESTADO S.A.</w:t>
      </w:r>
    </w:p>
    <w:p w14:paraId="021B29BD" w14:textId="77777777" w:rsidR="001D21F6" w:rsidRPr="005F2C03" w:rsidRDefault="001D21F6">
      <w:pPr>
        <w:pStyle w:val="Default"/>
        <w:numPr>
          <w:ilvl w:val="0"/>
          <w:numId w:val="21"/>
        </w:numPr>
        <w:spacing w:line="240" w:lineRule="atLeast"/>
        <w:ind w:right="191"/>
        <w:rPr>
          <w:rFonts w:eastAsia="Arial"/>
          <w:szCs w:val="22"/>
          <w:lang w:val="es-MX"/>
        </w:rPr>
      </w:pPr>
      <w:r w:rsidRPr="005F2C03">
        <w:rPr>
          <w:rFonts w:eastAsia="Arial"/>
          <w:szCs w:val="22"/>
          <w:lang w:val="es-MX"/>
        </w:rPr>
        <w:t>SEGUROS GENERALES SURAMERICANA S.A.</w:t>
      </w:r>
    </w:p>
    <w:p w14:paraId="671CFBC5" w14:textId="77777777" w:rsidR="001D21F6" w:rsidRPr="005F2C03" w:rsidRDefault="001D21F6" w:rsidP="001D21F6">
      <w:pPr>
        <w:pStyle w:val="Default"/>
        <w:spacing w:line="240" w:lineRule="atLeast"/>
        <w:ind w:left="720" w:right="191"/>
        <w:rPr>
          <w:rFonts w:eastAsia="Arial"/>
          <w:szCs w:val="22"/>
          <w:lang w:val="es-MX"/>
        </w:rPr>
      </w:pPr>
    </w:p>
    <w:p w14:paraId="5DF392AD" w14:textId="4756022A" w:rsidR="001D21F6" w:rsidRPr="005F2C03" w:rsidRDefault="001D21F6" w:rsidP="001D21F6">
      <w:pPr>
        <w:spacing w:line="240" w:lineRule="atLeast"/>
        <w:jc w:val="both"/>
        <w:rPr>
          <w:rFonts w:cs="Arial"/>
          <w:lang w:val="es-MX"/>
        </w:rPr>
      </w:pPr>
      <w:bookmarkStart w:id="22" w:name="_Hlk165034384"/>
      <w:r w:rsidRPr="005F2C03">
        <w:rPr>
          <w:rFonts w:cs="Arial"/>
          <w:lang w:val="es-MX"/>
        </w:rPr>
        <w:t>Una vez identificados los potenciales oferentes, JARGU S.A. CORREDORES DE SEGUROS, el día 14 de junio de 2024, mediante correo electrónico procedió a informar a las compañías de seguros que la Entidad requiere adelantar proceso de selección para “</w:t>
      </w:r>
      <w:r w:rsidR="0004615B" w:rsidRPr="0004615B">
        <w:rPr>
          <w:rFonts w:eastAsia="Arial Narrow" w:cs="Arial"/>
          <w:bCs/>
          <w:i/>
        </w:rPr>
        <w:t>SELECCIONAR LA(S) ASEGURADORA(S) CON LA(S) QUE SE CONTRATARÁN LAS PÓLIZAS REQUERIDAS PARA UNA ADECUADA PROTECCIÓN DE LOS INTERESES PATRIMONIALES, DE SUS BIENES Y LOS DE TERCEROS QUE SE ENCUENTREN BAJO CUIDADO, CONTROL Y CUSTODIA DE LA EMPRESA DE LICORES DE CUNDINAMARCA Y CUALQUIER OTRA PÓLIZA DE SEGUROS QUE REQUIERA LA ENTIDAD EN EL DESARROLLO DE SU ACTIVIDAD</w:t>
      </w:r>
      <w:r w:rsidRPr="005F2C03">
        <w:rPr>
          <w:rFonts w:eastAsia="Arial Narrow" w:cs="Arial"/>
          <w:bCs/>
          <w:i/>
        </w:rPr>
        <w:t>.</w:t>
      </w:r>
      <w:r w:rsidRPr="005F2C03">
        <w:rPr>
          <w:rFonts w:cs="Arial"/>
          <w:lang w:val="es-MX"/>
        </w:rPr>
        <w:t>” y en ese orden de ideas se solicitó a las aseguradoras descritas anteriormente que presentarán términos para las pólizas objeto de contratación con la finalidad de estructurar el estudio de mercado, como se muestra a continuación:</w:t>
      </w:r>
    </w:p>
    <w:bookmarkEnd w:id="22"/>
    <w:p w14:paraId="644EED15" w14:textId="77777777" w:rsidR="001D21F6" w:rsidRPr="005F2C03" w:rsidRDefault="001D21F6" w:rsidP="001D21F6">
      <w:pPr>
        <w:pStyle w:val="Default"/>
        <w:tabs>
          <w:tab w:val="left" w:pos="8505"/>
        </w:tabs>
        <w:spacing w:line="240" w:lineRule="atLeast"/>
        <w:ind w:right="49"/>
        <w:jc w:val="both"/>
        <w:rPr>
          <w:rFonts w:eastAsia="Arial"/>
          <w:szCs w:val="22"/>
          <w:lang w:val="es-MX"/>
        </w:rPr>
      </w:pPr>
    </w:p>
    <w:p w14:paraId="42EA3098" w14:textId="77777777" w:rsidR="001D21F6" w:rsidRPr="005F2C03" w:rsidRDefault="001D21F6" w:rsidP="001D21F6">
      <w:pPr>
        <w:pStyle w:val="Sinespaciado"/>
        <w:jc w:val="center"/>
        <w:rPr>
          <w:rStyle w:val="normaltextrun"/>
          <w:rFonts w:ascii="Arial Narrow" w:hAnsi="Arial Narrow" w:cs="Arial"/>
          <w:shd w:val="clear" w:color="auto" w:fill="FFFFFF"/>
          <w:lang w:val="es-MX"/>
        </w:rPr>
      </w:pPr>
      <w:r w:rsidRPr="005F2C03">
        <w:rPr>
          <w:rStyle w:val="normaltextrun"/>
          <w:rFonts w:ascii="Arial Narrow" w:hAnsi="Arial Narrow" w:cs="Arial"/>
          <w:noProof/>
          <w:shd w:val="clear" w:color="auto" w:fill="FFFFFF"/>
          <w:lang w:val="es-MX"/>
        </w:rPr>
        <w:drawing>
          <wp:inline distT="0" distB="0" distL="0" distR="0" wp14:anchorId="01CB8BE4" wp14:editId="5347431E">
            <wp:extent cx="5543550" cy="2687320"/>
            <wp:effectExtent l="0" t="0" r="0" b="0"/>
            <wp:docPr id="1908233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33637" name=""/>
                    <pic:cNvPicPr/>
                  </pic:nvPicPr>
                  <pic:blipFill>
                    <a:blip r:embed="rId72"/>
                    <a:stretch>
                      <a:fillRect/>
                    </a:stretch>
                  </pic:blipFill>
                  <pic:spPr>
                    <a:xfrm>
                      <a:off x="0" y="0"/>
                      <a:ext cx="5543550" cy="2687320"/>
                    </a:xfrm>
                    <a:prstGeom prst="rect">
                      <a:avLst/>
                    </a:prstGeom>
                  </pic:spPr>
                </pic:pic>
              </a:graphicData>
            </a:graphic>
          </wp:inline>
        </w:drawing>
      </w:r>
    </w:p>
    <w:p w14:paraId="2D571BA0" w14:textId="77777777" w:rsidR="001D21F6" w:rsidRPr="005F2C03" w:rsidRDefault="001D21F6" w:rsidP="001D21F6">
      <w:pPr>
        <w:pStyle w:val="Sinespaciado"/>
        <w:jc w:val="both"/>
        <w:rPr>
          <w:rStyle w:val="normaltextrun"/>
          <w:rFonts w:ascii="Arial Narrow" w:hAnsi="Arial Narrow" w:cs="Arial"/>
          <w:shd w:val="clear" w:color="auto" w:fill="FFFFFF"/>
        </w:rPr>
      </w:pPr>
    </w:p>
    <w:p w14:paraId="155FA53E" w14:textId="77777777" w:rsidR="001D21F6" w:rsidRPr="005F2C03" w:rsidRDefault="001D21F6" w:rsidP="001D21F6">
      <w:pPr>
        <w:pStyle w:val="Sinespaciado"/>
        <w:rPr>
          <w:rFonts w:ascii="Arial Narrow" w:hAnsi="Arial Narrow" w:cs="Arial"/>
          <w:b/>
        </w:rPr>
      </w:pPr>
      <w:r w:rsidRPr="005F2C03">
        <w:rPr>
          <w:rFonts w:ascii="Arial Narrow" w:hAnsi="Arial Narrow" w:cs="Arial"/>
          <w:b/>
        </w:rPr>
        <w:t>Respuestas Recibidas</w:t>
      </w:r>
    </w:p>
    <w:p w14:paraId="1152EC3B" w14:textId="77777777" w:rsidR="001D21F6" w:rsidRPr="005F2C03" w:rsidRDefault="001D21F6" w:rsidP="001D21F6">
      <w:pPr>
        <w:pStyle w:val="Sinespaciado"/>
        <w:ind w:left="1287"/>
        <w:jc w:val="both"/>
        <w:rPr>
          <w:rFonts w:ascii="Arial Narrow" w:hAnsi="Arial Narrow" w:cs="Arial"/>
          <w:b/>
          <w:highlight w:val="yellow"/>
        </w:rPr>
      </w:pPr>
    </w:p>
    <w:p w14:paraId="353D4975" w14:textId="77777777" w:rsidR="001D21F6" w:rsidRPr="005F2C03" w:rsidRDefault="001D21F6" w:rsidP="001D21F6">
      <w:pPr>
        <w:pStyle w:val="Default"/>
        <w:tabs>
          <w:tab w:val="left" w:pos="8364"/>
        </w:tabs>
        <w:spacing w:line="240" w:lineRule="atLeast"/>
        <w:ind w:right="49"/>
        <w:jc w:val="both"/>
        <w:rPr>
          <w:szCs w:val="22"/>
          <w:lang w:val="es-ES_tradnl"/>
        </w:rPr>
      </w:pPr>
      <w:r w:rsidRPr="005F2C03">
        <w:rPr>
          <w:szCs w:val="22"/>
          <w:lang w:val="es-ES_tradnl"/>
        </w:rPr>
        <w:lastRenderedPageBreak/>
        <w:t>Se recibieron las siguientes respuestas por parte de las compañías de seguros:</w:t>
      </w:r>
    </w:p>
    <w:p w14:paraId="42856169" w14:textId="77777777" w:rsidR="001D21F6" w:rsidRPr="005F2C03" w:rsidRDefault="001D21F6" w:rsidP="001D21F6">
      <w:pPr>
        <w:pStyle w:val="Default"/>
        <w:tabs>
          <w:tab w:val="left" w:pos="8364"/>
        </w:tabs>
        <w:spacing w:line="240" w:lineRule="atLeast"/>
        <w:ind w:right="49"/>
        <w:jc w:val="both"/>
        <w:rPr>
          <w:szCs w:val="22"/>
          <w:lang w:val="es-ES_tradnl"/>
        </w:rPr>
      </w:pPr>
    </w:p>
    <w:p w14:paraId="0B37E5EC"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szCs w:val="22"/>
          <w:lang w:val="es-ES_tradnl"/>
        </w:rPr>
        <w:t>Aseguradora Solidaria de Colombia Entidad Cooperativa</w:t>
      </w:r>
    </w:p>
    <w:p w14:paraId="7A7C4F18"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0DF34D0C"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noProof/>
          <w:szCs w:val="22"/>
          <w:lang w:val="es-ES_tradnl"/>
        </w:rPr>
        <w:drawing>
          <wp:inline distT="0" distB="0" distL="0" distR="0" wp14:anchorId="2F82F9FB" wp14:editId="48F8B6B3">
            <wp:extent cx="5591175" cy="2503805"/>
            <wp:effectExtent l="0" t="0" r="9525" b="0"/>
            <wp:docPr id="1032303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03283" name=""/>
                    <pic:cNvPicPr/>
                  </pic:nvPicPr>
                  <pic:blipFill>
                    <a:blip r:embed="rId73"/>
                    <a:stretch>
                      <a:fillRect/>
                    </a:stretch>
                  </pic:blipFill>
                  <pic:spPr>
                    <a:xfrm>
                      <a:off x="0" y="0"/>
                      <a:ext cx="5603598" cy="2509368"/>
                    </a:xfrm>
                    <a:prstGeom prst="rect">
                      <a:avLst/>
                    </a:prstGeom>
                  </pic:spPr>
                </pic:pic>
              </a:graphicData>
            </a:graphic>
          </wp:inline>
        </w:drawing>
      </w:r>
    </w:p>
    <w:p w14:paraId="49DF8C9E"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20225946"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szCs w:val="22"/>
          <w:lang w:val="es-ES_tradnl"/>
        </w:rPr>
        <w:t>Axa Colpatria Seguros S.A.</w:t>
      </w:r>
    </w:p>
    <w:p w14:paraId="60C79E08"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65067D4F"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noProof/>
          <w:szCs w:val="22"/>
          <w:lang w:val="es-ES_tradnl"/>
        </w:rPr>
        <w:drawing>
          <wp:inline distT="0" distB="0" distL="0" distR="0" wp14:anchorId="41472D63" wp14:editId="28ECBB8E">
            <wp:extent cx="5591175" cy="3111500"/>
            <wp:effectExtent l="0" t="0" r="9525" b="0"/>
            <wp:docPr id="72385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56891" name=""/>
                    <pic:cNvPicPr/>
                  </pic:nvPicPr>
                  <pic:blipFill>
                    <a:blip r:embed="rId74"/>
                    <a:stretch>
                      <a:fillRect/>
                    </a:stretch>
                  </pic:blipFill>
                  <pic:spPr>
                    <a:xfrm>
                      <a:off x="0" y="0"/>
                      <a:ext cx="5593711" cy="3112911"/>
                    </a:xfrm>
                    <a:prstGeom prst="rect">
                      <a:avLst/>
                    </a:prstGeom>
                  </pic:spPr>
                </pic:pic>
              </a:graphicData>
            </a:graphic>
          </wp:inline>
        </w:drawing>
      </w:r>
    </w:p>
    <w:p w14:paraId="450228D3"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7DC02D81"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szCs w:val="22"/>
          <w:lang w:val="es-ES_tradnl"/>
        </w:rPr>
        <w:lastRenderedPageBreak/>
        <w:t>Liberty Seguros S.A.</w:t>
      </w:r>
    </w:p>
    <w:p w14:paraId="509EAC91"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724F1682"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noProof/>
          <w:szCs w:val="22"/>
          <w:lang w:val="es-ES_tradnl"/>
        </w:rPr>
        <w:drawing>
          <wp:inline distT="0" distB="0" distL="0" distR="0" wp14:anchorId="6E1C31DA" wp14:editId="36769B98">
            <wp:extent cx="5581650" cy="1605280"/>
            <wp:effectExtent l="0" t="0" r="0" b="0"/>
            <wp:docPr id="871969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69310" name=""/>
                    <pic:cNvPicPr/>
                  </pic:nvPicPr>
                  <pic:blipFill>
                    <a:blip r:embed="rId75"/>
                    <a:stretch>
                      <a:fillRect/>
                    </a:stretch>
                  </pic:blipFill>
                  <pic:spPr>
                    <a:xfrm>
                      <a:off x="0" y="0"/>
                      <a:ext cx="5581650" cy="1605280"/>
                    </a:xfrm>
                    <a:prstGeom prst="rect">
                      <a:avLst/>
                    </a:prstGeom>
                  </pic:spPr>
                </pic:pic>
              </a:graphicData>
            </a:graphic>
          </wp:inline>
        </w:drawing>
      </w:r>
    </w:p>
    <w:p w14:paraId="5F1F5F47"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51970FEB"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szCs w:val="22"/>
          <w:lang w:val="es-ES_tradnl"/>
        </w:rPr>
        <w:t>Seguros Generales Suramericana S.A.</w:t>
      </w:r>
    </w:p>
    <w:p w14:paraId="2B4A7E24"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63D607C3" w14:textId="77777777" w:rsidR="001D21F6" w:rsidRPr="005F2C03" w:rsidRDefault="001D21F6" w:rsidP="001D21F6">
      <w:pPr>
        <w:pStyle w:val="Default"/>
        <w:tabs>
          <w:tab w:val="left" w:pos="8364"/>
        </w:tabs>
        <w:spacing w:line="240" w:lineRule="atLeast"/>
        <w:ind w:right="49"/>
        <w:jc w:val="both"/>
        <w:rPr>
          <w:b/>
          <w:bCs/>
          <w:szCs w:val="22"/>
          <w:lang w:val="es-ES_tradnl"/>
        </w:rPr>
      </w:pPr>
      <w:r w:rsidRPr="005F2C03">
        <w:rPr>
          <w:b/>
          <w:bCs/>
          <w:noProof/>
          <w:szCs w:val="22"/>
          <w:lang w:val="es-ES_tradnl"/>
        </w:rPr>
        <w:drawing>
          <wp:inline distT="0" distB="0" distL="0" distR="0" wp14:anchorId="15A3EFF6" wp14:editId="38120E64">
            <wp:extent cx="5581650" cy="2334895"/>
            <wp:effectExtent l="0" t="0" r="0" b="8255"/>
            <wp:docPr id="888203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03182" name=""/>
                    <pic:cNvPicPr/>
                  </pic:nvPicPr>
                  <pic:blipFill>
                    <a:blip r:embed="rId76"/>
                    <a:stretch>
                      <a:fillRect/>
                    </a:stretch>
                  </pic:blipFill>
                  <pic:spPr>
                    <a:xfrm>
                      <a:off x="0" y="0"/>
                      <a:ext cx="5581650" cy="2334895"/>
                    </a:xfrm>
                    <a:prstGeom prst="rect">
                      <a:avLst/>
                    </a:prstGeom>
                  </pic:spPr>
                </pic:pic>
              </a:graphicData>
            </a:graphic>
          </wp:inline>
        </w:drawing>
      </w:r>
    </w:p>
    <w:p w14:paraId="24F4B821" w14:textId="77777777" w:rsidR="001D21F6" w:rsidRPr="005F2C03" w:rsidRDefault="001D21F6" w:rsidP="001D21F6">
      <w:pPr>
        <w:pStyle w:val="Default"/>
        <w:tabs>
          <w:tab w:val="left" w:pos="8364"/>
        </w:tabs>
        <w:spacing w:line="240" w:lineRule="atLeast"/>
        <w:ind w:right="49"/>
        <w:jc w:val="both"/>
        <w:rPr>
          <w:b/>
          <w:bCs/>
          <w:szCs w:val="22"/>
          <w:lang w:val="es-ES_tradnl"/>
        </w:rPr>
      </w:pPr>
    </w:p>
    <w:p w14:paraId="5B48A03B" w14:textId="77777777" w:rsidR="001D21F6" w:rsidRPr="005F2C03" w:rsidRDefault="001D21F6" w:rsidP="001D21F6">
      <w:pPr>
        <w:pStyle w:val="Sinespaciado"/>
        <w:rPr>
          <w:rFonts w:ascii="Arial Narrow" w:hAnsi="Arial Narrow" w:cs="Arial"/>
          <w:b/>
        </w:rPr>
      </w:pPr>
      <w:r w:rsidRPr="005F2C03">
        <w:rPr>
          <w:rFonts w:ascii="Arial Narrow" w:hAnsi="Arial Narrow" w:cs="Arial"/>
          <w:b/>
        </w:rPr>
        <w:t>Análisis de las Cotizaciones</w:t>
      </w:r>
    </w:p>
    <w:p w14:paraId="0C37D3E6" w14:textId="77777777" w:rsidR="001D21F6" w:rsidRPr="005F2C03" w:rsidRDefault="001D21F6" w:rsidP="001D21F6">
      <w:pPr>
        <w:shd w:val="clear" w:color="auto" w:fill="FFFFFF"/>
        <w:jc w:val="both"/>
        <w:rPr>
          <w:rFonts w:cs="Arial"/>
          <w:i/>
          <w:iCs/>
          <w:highlight w:val="yellow"/>
        </w:rPr>
      </w:pPr>
    </w:p>
    <w:p w14:paraId="54C8D793" w14:textId="77777777" w:rsidR="001D21F6" w:rsidRPr="005F2C03" w:rsidRDefault="001D21F6" w:rsidP="001D21F6">
      <w:pPr>
        <w:shd w:val="clear" w:color="auto" w:fill="FFFFFF"/>
        <w:jc w:val="both"/>
        <w:rPr>
          <w:rFonts w:cs="Arial"/>
        </w:rPr>
      </w:pPr>
      <w:bookmarkStart w:id="23" w:name="_Hlk164827048"/>
      <w:r w:rsidRPr="005F2C03">
        <w:rPr>
          <w:rFonts w:cs="Arial"/>
        </w:rPr>
        <w:t xml:space="preserve">Como quiera que las compañías de seguros informan que no presentan cotizaciones o suministran tasas aplicables para la elaboración del estudio de mercado, lo cual es entendible, teniendo en cuenta </w:t>
      </w:r>
      <w:r w:rsidRPr="005F2C03">
        <w:rPr>
          <w:rFonts w:cs="Arial"/>
          <w:lang w:val="es-MX"/>
        </w:rPr>
        <w:t xml:space="preserve">sus políticas internas y de conformidad con las exigencias que les hace el mercado reasegurador para el estudio sobre la viabilidad o no de otorgar respaldo para aquellos ramos que así lo requieren, se hace necesario que el proceso se encuentre formalmente publicado, pues esta es una exigencia propia de los reaseguradores. En ese orden de ideas, </w:t>
      </w:r>
      <w:r w:rsidRPr="005F2C03">
        <w:rPr>
          <w:rFonts w:cs="Arial"/>
        </w:rPr>
        <w:t>para la estimación del costo del proceso de selección, se tomaron algunos clientes estatales en los que JARGU S.A. CORREDORES DE SEGUROS, ha participado en la adjudicación de la contratación de pólizas de seguros relacionadas con el objeto de la presente contratación en los últimos años, para lo cual se procedió a la siguiente metodología:</w:t>
      </w:r>
    </w:p>
    <w:bookmarkEnd w:id="23"/>
    <w:p w14:paraId="38030502" w14:textId="77777777" w:rsidR="001D21F6" w:rsidRPr="005F2C03" w:rsidRDefault="001D21F6" w:rsidP="001D21F6">
      <w:pPr>
        <w:shd w:val="clear" w:color="auto" w:fill="FFFFFF"/>
        <w:jc w:val="both"/>
        <w:rPr>
          <w:rFonts w:cs="Arial"/>
        </w:rPr>
      </w:pPr>
    </w:p>
    <w:p w14:paraId="66E3F910" w14:textId="77777777" w:rsidR="001D21F6" w:rsidRPr="005F2C03" w:rsidRDefault="001D21F6" w:rsidP="001D21F6">
      <w:pPr>
        <w:shd w:val="clear" w:color="auto" w:fill="FFFFFF"/>
        <w:ind w:left="284" w:hanging="284"/>
        <w:jc w:val="both"/>
        <w:rPr>
          <w:rFonts w:cs="Arial"/>
        </w:rPr>
      </w:pPr>
      <w:r w:rsidRPr="005F2C03">
        <w:rPr>
          <w:rFonts w:cs="Arial"/>
        </w:rPr>
        <w:lastRenderedPageBreak/>
        <w:t>a)</w:t>
      </w:r>
      <w:r w:rsidRPr="005F2C03">
        <w:rPr>
          <w:rFonts w:cs="Arial"/>
        </w:rPr>
        <w:tab/>
        <w:t>Se tuvo en cuenta las actuales tasas de las pólizas de la Entidad, las cuales son obtenidas del último proceso de contratación de cada una.</w:t>
      </w:r>
    </w:p>
    <w:p w14:paraId="52D6C4C3" w14:textId="77777777" w:rsidR="001D21F6" w:rsidRPr="005F2C03" w:rsidRDefault="001D21F6" w:rsidP="001D21F6">
      <w:pPr>
        <w:shd w:val="clear" w:color="auto" w:fill="FFFFFF"/>
        <w:ind w:left="284" w:hanging="284"/>
        <w:jc w:val="both"/>
        <w:rPr>
          <w:rFonts w:cs="Arial"/>
        </w:rPr>
      </w:pPr>
      <w:r w:rsidRPr="005F2C03">
        <w:rPr>
          <w:rFonts w:cs="Arial"/>
        </w:rPr>
        <w:t>b)</w:t>
      </w:r>
      <w:r w:rsidRPr="005F2C03">
        <w:rPr>
          <w:rFonts w:cs="Arial"/>
        </w:rPr>
        <w:tab/>
        <w:t>Se tuvo en cuenta las tasas actuales de pólizas de entidades relacionadas con la Entidad, de conformidad con sus condiciones de valores asegurados, exposición al riesgo, valor del programa de seguros y siniestralidad, precisando que no se tiene un estándar para esta determinación debido a que los seguros no se enmarcan con las características de condiciones uniformes.</w:t>
      </w:r>
    </w:p>
    <w:p w14:paraId="1447408A" w14:textId="77777777" w:rsidR="001D21F6" w:rsidRPr="005F2C03" w:rsidRDefault="001D21F6" w:rsidP="001D21F6">
      <w:pPr>
        <w:shd w:val="clear" w:color="auto" w:fill="FFFFFF"/>
        <w:ind w:left="284" w:hanging="284"/>
        <w:jc w:val="both"/>
        <w:rPr>
          <w:rFonts w:cs="Arial"/>
        </w:rPr>
      </w:pPr>
      <w:r w:rsidRPr="005F2C03">
        <w:rPr>
          <w:rFonts w:cs="Arial"/>
        </w:rPr>
        <w:t>c)</w:t>
      </w:r>
      <w:r w:rsidRPr="005F2C03">
        <w:rPr>
          <w:rFonts w:cs="Arial"/>
        </w:rPr>
        <w:tab/>
        <w:t xml:space="preserve">De acuerdo con lo anterior, se estableció el promedio de tasa para cada póliza. </w:t>
      </w:r>
    </w:p>
    <w:p w14:paraId="0C839D7E" w14:textId="77777777" w:rsidR="001D21F6" w:rsidRPr="005F2C03" w:rsidRDefault="001D21F6" w:rsidP="001D21F6">
      <w:pPr>
        <w:shd w:val="clear" w:color="auto" w:fill="FFFFFF"/>
        <w:ind w:left="284" w:hanging="284"/>
        <w:jc w:val="both"/>
        <w:rPr>
          <w:rFonts w:cs="Arial"/>
        </w:rPr>
      </w:pPr>
      <w:r w:rsidRPr="005F2C03">
        <w:rPr>
          <w:rFonts w:cs="Arial"/>
        </w:rPr>
        <w:t>d)</w:t>
      </w:r>
      <w:r w:rsidRPr="005F2C03">
        <w:rPr>
          <w:rFonts w:cs="Arial"/>
        </w:rPr>
        <w:tab/>
        <w:t xml:space="preserve">Con base en las tasas promedio aplicables, se llevó a cabo el cálculo del valor estimado de la contratación de cada una de las pólizas, considerando la vigencia mínima que se pretende contratar. </w:t>
      </w:r>
    </w:p>
    <w:p w14:paraId="303D9675" w14:textId="77777777" w:rsidR="001D21F6" w:rsidRPr="005F2C03" w:rsidRDefault="001D21F6" w:rsidP="001D21F6">
      <w:pPr>
        <w:shd w:val="clear" w:color="auto" w:fill="FFFFFF"/>
        <w:ind w:left="284" w:hanging="284"/>
        <w:jc w:val="both"/>
        <w:rPr>
          <w:rFonts w:cs="Arial"/>
        </w:rPr>
      </w:pPr>
    </w:p>
    <w:p w14:paraId="45C1DC5F" w14:textId="77777777" w:rsidR="001D21F6" w:rsidRPr="005F2C03" w:rsidRDefault="001D21F6" w:rsidP="001D21F6">
      <w:pPr>
        <w:shd w:val="clear" w:color="auto" w:fill="FFFFFF"/>
        <w:jc w:val="both"/>
        <w:rPr>
          <w:rFonts w:cs="Arial"/>
        </w:rPr>
      </w:pPr>
      <w:r w:rsidRPr="005F2C03">
        <w:rPr>
          <w:rFonts w:cs="Arial"/>
        </w:rPr>
        <w:t>A continuación, se muestra el detalle de las tasas utilizadas clasificadas por ramo:</w:t>
      </w:r>
    </w:p>
    <w:p w14:paraId="3A893BEC" w14:textId="77777777" w:rsidR="005319D6" w:rsidRDefault="005319D6" w:rsidP="001D21F6">
      <w:pPr>
        <w:autoSpaceDE w:val="0"/>
        <w:autoSpaceDN w:val="0"/>
        <w:adjustRightInd w:val="0"/>
        <w:jc w:val="center"/>
        <w:rPr>
          <w:noProof/>
        </w:rPr>
      </w:pPr>
    </w:p>
    <w:p w14:paraId="3930087F" w14:textId="2AAFEFA4" w:rsidR="001D21F6" w:rsidRPr="005F2C03" w:rsidRDefault="001D21F6" w:rsidP="001D21F6">
      <w:pPr>
        <w:autoSpaceDE w:val="0"/>
        <w:autoSpaceDN w:val="0"/>
        <w:adjustRightInd w:val="0"/>
        <w:jc w:val="center"/>
        <w:rPr>
          <w:lang w:eastAsia="es-CO"/>
        </w:rPr>
      </w:pPr>
      <w:r w:rsidRPr="005F2C03">
        <w:rPr>
          <w:noProof/>
        </w:rPr>
        <w:drawing>
          <wp:inline distT="0" distB="0" distL="0" distR="0" wp14:anchorId="2C9B93F2" wp14:editId="1C19F3F0">
            <wp:extent cx="5300345" cy="4947313"/>
            <wp:effectExtent l="0" t="0" r="0" b="5715"/>
            <wp:docPr id="66505029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77">
                      <a:extLst>
                        <a:ext uri="{28A0092B-C50C-407E-A947-70E740481C1C}">
                          <a14:useLocalDpi xmlns:a14="http://schemas.microsoft.com/office/drawing/2010/main" val="0"/>
                        </a:ext>
                      </a:extLst>
                    </a:blip>
                    <a:srcRect b="4871"/>
                    <a:stretch/>
                  </pic:blipFill>
                  <pic:spPr bwMode="auto">
                    <a:xfrm>
                      <a:off x="0" y="0"/>
                      <a:ext cx="5300345" cy="4947313"/>
                    </a:xfrm>
                    <a:prstGeom prst="rect">
                      <a:avLst/>
                    </a:prstGeom>
                    <a:noFill/>
                    <a:ln>
                      <a:noFill/>
                    </a:ln>
                    <a:extLst>
                      <a:ext uri="{53640926-AAD7-44D8-BBD7-CCE9431645EC}">
                        <a14:shadowObscured xmlns:a14="http://schemas.microsoft.com/office/drawing/2010/main"/>
                      </a:ext>
                    </a:extLst>
                  </pic:spPr>
                </pic:pic>
              </a:graphicData>
            </a:graphic>
          </wp:inline>
        </w:drawing>
      </w:r>
    </w:p>
    <w:p w14:paraId="02C2BDC4" w14:textId="77777777" w:rsidR="001D21F6" w:rsidRPr="005F2C03" w:rsidRDefault="001D21F6" w:rsidP="001D21F6">
      <w:pPr>
        <w:jc w:val="center"/>
        <w:rPr>
          <w:sz w:val="18"/>
          <w:szCs w:val="18"/>
          <w:lang w:val="es-ES_tradnl" w:eastAsia="es-CO"/>
        </w:rPr>
      </w:pPr>
      <w:r w:rsidRPr="005F2C03">
        <w:rPr>
          <w:rFonts w:cs="Arial"/>
          <w:sz w:val="18"/>
          <w:szCs w:val="18"/>
          <w:lang w:val="es-ES_tradnl"/>
        </w:rPr>
        <w:lastRenderedPageBreak/>
        <w:t>Fuente: Anexo No. 2 Estudio de Mercado – Tasas promedio</w:t>
      </w:r>
    </w:p>
    <w:p w14:paraId="03F6C294" w14:textId="77777777" w:rsidR="001D21F6" w:rsidRPr="005F2C03" w:rsidRDefault="001D21F6" w:rsidP="001D21F6">
      <w:pPr>
        <w:autoSpaceDE w:val="0"/>
        <w:autoSpaceDN w:val="0"/>
        <w:adjustRightInd w:val="0"/>
        <w:jc w:val="both"/>
        <w:rPr>
          <w:lang w:val="es-ES_tradnl" w:eastAsia="es-CO"/>
        </w:rPr>
      </w:pPr>
    </w:p>
    <w:p w14:paraId="2C9347FD" w14:textId="77777777" w:rsidR="001D21F6" w:rsidRPr="005F2C03" w:rsidRDefault="001D21F6" w:rsidP="001D21F6">
      <w:pPr>
        <w:autoSpaceDE w:val="0"/>
        <w:autoSpaceDN w:val="0"/>
        <w:adjustRightInd w:val="0"/>
        <w:jc w:val="both"/>
        <w:rPr>
          <w:rFonts w:cs="Arial"/>
        </w:rPr>
      </w:pPr>
      <w:r w:rsidRPr="005F2C03">
        <w:rPr>
          <w:rFonts w:cs="Arial"/>
        </w:rPr>
        <w:t>Con base en la tasa promedio aplicable, se llevó a cabo el cálculo del valor estimado de la contratación, considerando la vigencia necesaria, el resultado es el siguiente:</w:t>
      </w:r>
    </w:p>
    <w:p w14:paraId="293D836D" w14:textId="77777777" w:rsidR="001D21F6" w:rsidRPr="005F2C03" w:rsidRDefault="001D21F6" w:rsidP="001D21F6">
      <w:pPr>
        <w:rPr>
          <w:lang w:eastAsia="ar-SA"/>
        </w:rPr>
      </w:pPr>
    </w:p>
    <w:p w14:paraId="37E7C4FA" w14:textId="448BB495" w:rsidR="001D21F6" w:rsidRPr="005F2C03" w:rsidRDefault="00D9510C" w:rsidP="001D21F6">
      <w:pPr>
        <w:jc w:val="center"/>
        <w:rPr>
          <w:lang w:eastAsia="ar-SA"/>
        </w:rPr>
      </w:pPr>
      <w:r w:rsidRPr="00D9510C">
        <w:drawing>
          <wp:inline distT="0" distB="0" distL="0" distR="0" wp14:anchorId="1C9604BE" wp14:editId="4EF8DB49">
            <wp:extent cx="5612130" cy="5249545"/>
            <wp:effectExtent l="0" t="0" r="7620" b="8255"/>
            <wp:docPr id="1105088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5249545"/>
                    </a:xfrm>
                    <a:prstGeom prst="rect">
                      <a:avLst/>
                    </a:prstGeom>
                    <a:noFill/>
                    <a:ln>
                      <a:noFill/>
                    </a:ln>
                  </pic:spPr>
                </pic:pic>
              </a:graphicData>
            </a:graphic>
          </wp:inline>
        </w:drawing>
      </w:r>
    </w:p>
    <w:p w14:paraId="517C7AE1" w14:textId="77777777" w:rsidR="001D21F6" w:rsidRPr="005F2C03" w:rsidRDefault="001D21F6" w:rsidP="001D21F6">
      <w:pPr>
        <w:jc w:val="center"/>
        <w:rPr>
          <w:rFonts w:cs="Arial"/>
          <w:lang w:val="es-ES_tradnl"/>
        </w:rPr>
      </w:pPr>
      <w:r w:rsidRPr="005F2C03">
        <w:rPr>
          <w:rFonts w:cs="Arial"/>
          <w:sz w:val="18"/>
          <w:szCs w:val="18"/>
          <w:lang w:val="es-ES_tradnl"/>
        </w:rPr>
        <w:t>Fuente: Anexo No. 2 Estudio de Mercado</w:t>
      </w:r>
    </w:p>
    <w:p w14:paraId="1B454223" w14:textId="77777777" w:rsidR="001D21F6" w:rsidRPr="005F2C03" w:rsidRDefault="001D21F6" w:rsidP="001D21F6">
      <w:pPr>
        <w:pStyle w:val="Ttulo1"/>
        <w:rPr>
          <w:rFonts w:cs="Arial"/>
          <w:bCs/>
          <w:szCs w:val="22"/>
          <w:lang w:eastAsia="ar-SA"/>
        </w:rPr>
      </w:pPr>
    </w:p>
    <w:p w14:paraId="69BFD56D" w14:textId="77777777" w:rsidR="001D21F6" w:rsidRPr="005F2C03" w:rsidRDefault="001D21F6" w:rsidP="001D21F6">
      <w:pPr>
        <w:pStyle w:val="Ttulo1"/>
        <w:jc w:val="center"/>
        <w:rPr>
          <w:rFonts w:cs="Arial"/>
          <w:bCs/>
          <w:szCs w:val="22"/>
          <w:lang w:eastAsia="ar-SA"/>
        </w:rPr>
      </w:pPr>
      <w:r w:rsidRPr="005F2C03">
        <w:rPr>
          <w:rFonts w:cs="Arial"/>
          <w:bCs/>
          <w:szCs w:val="22"/>
          <w:lang w:eastAsia="ar-SA"/>
        </w:rPr>
        <w:t>CAPÍTULO VII</w:t>
      </w:r>
    </w:p>
    <w:p w14:paraId="6148340A" w14:textId="77777777" w:rsidR="001D21F6" w:rsidRPr="005F2C03" w:rsidRDefault="001D21F6" w:rsidP="001D21F6">
      <w:pPr>
        <w:pStyle w:val="Ttulo1"/>
        <w:jc w:val="center"/>
        <w:rPr>
          <w:rFonts w:cs="Arial"/>
          <w:bCs/>
          <w:szCs w:val="22"/>
          <w:lang w:eastAsia="ar-SA"/>
        </w:rPr>
      </w:pPr>
    </w:p>
    <w:p w14:paraId="5118B95E" w14:textId="7F6BAFE7" w:rsidR="009A0066" w:rsidRPr="005F2C03" w:rsidRDefault="00022C6A" w:rsidP="001D21F6">
      <w:pPr>
        <w:pStyle w:val="Ttulo1"/>
        <w:jc w:val="center"/>
        <w:rPr>
          <w:rFonts w:cs="Arial"/>
          <w:bCs/>
          <w:szCs w:val="22"/>
          <w:lang w:eastAsia="ar-SA"/>
        </w:rPr>
      </w:pPr>
      <w:r w:rsidRPr="005F2C03">
        <w:rPr>
          <w:rFonts w:cs="Arial"/>
          <w:bCs/>
          <w:szCs w:val="22"/>
          <w:lang w:eastAsia="ar-SA"/>
        </w:rPr>
        <w:t>A</w:t>
      </w:r>
      <w:r w:rsidR="00CD09CB" w:rsidRPr="005F2C03">
        <w:rPr>
          <w:rFonts w:cs="Arial"/>
          <w:bCs/>
          <w:szCs w:val="22"/>
          <w:lang w:eastAsia="ar-SA"/>
        </w:rPr>
        <w:t>N</w:t>
      </w:r>
      <w:r w:rsidR="00CE5537" w:rsidRPr="005F2C03">
        <w:rPr>
          <w:rFonts w:cs="Arial"/>
          <w:bCs/>
          <w:szCs w:val="22"/>
          <w:lang w:eastAsia="ar-SA"/>
        </w:rPr>
        <w:t>Á</w:t>
      </w:r>
      <w:r w:rsidR="00CD09CB" w:rsidRPr="005F2C03">
        <w:rPr>
          <w:rFonts w:cs="Arial"/>
          <w:bCs/>
          <w:szCs w:val="22"/>
          <w:lang w:eastAsia="ar-SA"/>
        </w:rPr>
        <w:t xml:space="preserve">LISIS DE LA </w:t>
      </w:r>
      <w:r w:rsidR="0053405F" w:rsidRPr="005F2C03">
        <w:rPr>
          <w:rFonts w:cs="Arial"/>
          <w:bCs/>
          <w:szCs w:val="22"/>
          <w:lang w:eastAsia="ar-SA"/>
        </w:rPr>
        <w:t>CAPACIDAD FINANCIERA</w:t>
      </w:r>
      <w:r w:rsidR="00CD09CB" w:rsidRPr="005F2C03">
        <w:rPr>
          <w:rFonts w:cs="Arial"/>
          <w:bCs/>
          <w:szCs w:val="22"/>
          <w:lang w:eastAsia="ar-SA"/>
        </w:rPr>
        <w:t xml:space="preserve"> Y ORGANIZACIONAL</w:t>
      </w:r>
    </w:p>
    <w:p w14:paraId="3C8C3207" w14:textId="77777777" w:rsidR="009A0066" w:rsidRPr="005F2C03" w:rsidRDefault="009A0066" w:rsidP="002C43B5">
      <w:pPr>
        <w:jc w:val="both"/>
        <w:rPr>
          <w:rFonts w:cs="Arial"/>
          <w:lang w:eastAsia="ar-SA"/>
        </w:rPr>
      </w:pPr>
    </w:p>
    <w:p w14:paraId="509430DF" w14:textId="77777777" w:rsidR="00755C97" w:rsidRPr="005F2C03" w:rsidRDefault="00755C97" w:rsidP="00755C97">
      <w:pPr>
        <w:ind w:left="-142" w:right="-284"/>
        <w:jc w:val="both"/>
        <w:rPr>
          <w:rFonts w:cs="Arial"/>
        </w:rPr>
      </w:pPr>
      <w:r w:rsidRPr="005F2C03">
        <w:rPr>
          <w:rFonts w:cs="Arial"/>
        </w:rPr>
        <w:t>Si bien es cierto que el Decreto 1082 de 2015 establece tres tipos de indicadores financieros a saber: liquidez, endeudamiento y razón de cobertura de intereses, al realizar el correspondiente estudio del sector, frente a los indicadores financieros de las compañías de seguros, los mismos, por las características propias de estas compañías, deben solicitarse con unos márgenes muy diferentes a los que se solicitarían para cualquier otro tipo de compañías, atendiendo que esta es una actividad regulada por la Superintendencia Financiera de Colombia.</w:t>
      </w:r>
    </w:p>
    <w:p w14:paraId="6023A976" w14:textId="77777777" w:rsidR="00755C97" w:rsidRPr="005F2C03" w:rsidRDefault="00755C97" w:rsidP="00755C97">
      <w:pPr>
        <w:ind w:left="-142" w:right="-284"/>
        <w:jc w:val="both"/>
        <w:rPr>
          <w:rFonts w:cs="Arial"/>
        </w:rPr>
      </w:pPr>
    </w:p>
    <w:p w14:paraId="5328F486" w14:textId="77777777" w:rsidR="00755C97" w:rsidRPr="005F2C03" w:rsidRDefault="00755C97" w:rsidP="00755C97">
      <w:pPr>
        <w:ind w:left="-142" w:right="-284"/>
        <w:jc w:val="both"/>
        <w:rPr>
          <w:rFonts w:cs="Arial"/>
        </w:rPr>
      </w:pPr>
      <w:r w:rsidRPr="005F2C03">
        <w:rPr>
          <w:rFonts w:cs="Arial"/>
        </w:rPr>
        <w:t xml:space="preserve">Ahora bien, tal como lo señala el Manual de Requisitos Habilitantes expedido por Colombia Compra Eficiente, se adelantó el análisis de conocimiento del sector y con base en el mismo, particularmente el relativo al objeto del Proceso de la Contratación de las aseguradoras que participan en los procesos de contratación estatal de seguros que se consideran son posibles oferentes. </w:t>
      </w:r>
    </w:p>
    <w:p w14:paraId="65399EA8" w14:textId="77777777" w:rsidR="00755C97" w:rsidRPr="005F2C03" w:rsidRDefault="00755C97" w:rsidP="00755C97">
      <w:pPr>
        <w:ind w:left="-142" w:right="-284"/>
        <w:rPr>
          <w:rFonts w:cs="Arial"/>
        </w:rPr>
      </w:pPr>
    </w:p>
    <w:p w14:paraId="6E887509" w14:textId="77777777" w:rsidR="00755C97" w:rsidRPr="005F2C03" w:rsidRDefault="00755C97" w:rsidP="00755C97">
      <w:pPr>
        <w:ind w:left="-142" w:right="-284"/>
        <w:rPr>
          <w:rFonts w:cs="Arial"/>
        </w:rPr>
      </w:pPr>
      <w:r w:rsidRPr="005F2C03">
        <w:rPr>
          <w:rFonts w:cs="Arial"/>
        </w:rPr>
        <w:t>Por lo anterior, la Entidad, da cumplimiento a lo indicado en el Decreto 1082 de 2015 así:</w:t>
      </w:r>
    </w:p>
    <w:p w14:paraId="03FECA97" w14:textId="77777777" w:rsidR="00755C97" w:rsidRPr="005F2C03" w:rsidRDefault="00755C97" w:rsidP="00755C97">
      <w:pPr>
        <w:rPr>
          <w:rFonts w:cs="Arial"/>
        </w:rPr>
      </w:pPr>
    </w:p>
    <w:p w14:paraId="60AEC11F" w14:textId="77777777" w:rsidR="00755C97" w:rsidRPr="005F2C03" w:rsidRDefault="00755C97">
      <w:pPr>
        <w:numPr>
          <w:ilvl w:val="0"/>
          <w:numId w:val="12"/>
        </w:numPr>
        <w:autoSpaceDN w:val="0"/>
        <w:ind w:left="720"/>
        <w:jc w:val="both"/>
        <w:rPr>
          <w:rFonts w:cs="Arial"/>
        </w:rPr>
      </w:pPr>
      <w:r w:rsidRPr="005F2C03">
        <w:rPr>
          <w:rFonts w:cs="Arial"/>
        </w:rPr>
        <w:t xml:space="preserve">Artículo 2.2.1.1.1.6.1 del Decreto 1082 de 2015 que a la letra señala que </w:t>
      </w:r>
      <w:r w:rsidRPr="005F2C03">
        <w:rPr>
          <w:rFonts w:cs="Arial"/>
          <w:i/>
          <w:iCs/>
        </w:rPr>
        <w:t xml:space="preserve">“La Entidad Estatal debe hacer durante la etapa de planeación el análisis necesario para conocer el sector relativo al objeto del Proceso de Contratación desde la perspectiva legal, comercial, </w:t>
      </w:r>
      <w:r w:rsidRPr="005F2C03">
        <w:rPr>
          <w:rFonts w:cs="Arial"/>
          <w:i/>
          <w:iCs/>
          <w:u w:val="single"/>
        </w:rPr>
        <w:t>financiera</w:t>
      </w:r>
      <w:r w:rsidRPr="005F2C03">
        <w:rPr>
          <w:rFonts w:cs="Arial"/>
          <w:i/>
          <w:iCs/>
        </w:rPr>
        <w:t xml:space="preserve">, </w:t>
      </w:r>
      <w:r w:rsidRPr="005F2C03">
        <w:rPr>
          <w:rFonts w:cs="Arial"/>
          <w:i/>
          <w:iCs/>
          <w:u w:val="single"/>
        </w:rPr>
        <w:t>organizacional,</w:t>
      </w:r>
      <w:r w:rsidRPr="005F2C03">
        <w:rPr>
          <w:rFonts w:cs="Arial"/>
          <w:i/>
          <w:iCs/>
        </w:rPr>
        <w:t xml:space="preserve"> técnica y de Análisis de Riesgo…”</w:t>
      </w:r>
      <w:r w:rsidRPr="005F2C03">
        <w:rPr>
          <w:rFonts w:cs="Arial"/>
        </w:rPr>
        <w:t xml:space="preserve">. (Subrayado fuera de texto) </w:t>
      </w:r>
    </w:p>
    <w:p w14:paraId="2B3399EE" w14:textId="77777777" w:rsidR="00755C97" w:rsidRPr="005F2C03" w:rsidRDefault="00755C97" w:rsidP="00755C97">
      <w:pPr>
        <w:ind w:left="720"/>
        <w:rPr>
          <w:rFonts w:cs="Arial"/>
        </w:rPr>
      </w:pPr>
    </w:p>
    <w:p w14:paraId="75A506DD" w14:textId="77777777" w:rsidR="00755C97" w:rsidRPr="005F2C03" w:rsidRDefault="00755C97">
      <w:pPr>
        <w:numPr>
          <w:ilvl w:val="0"/>
          <w:numId w:val="12"/>
        </w:numPr>
        <w:autoSpaceDN w:val="0"/>
        <w:ind w:left="720"/>
        <w:jc w:val="both"/>
        <w:rPr>
          <w:rFonts w:cs="Arial"/>
        </w:rPr>
      </w:pPr>
      <w:r w:rsidRPr="005F2C03">
        <w:rPr>
          <w:rFonts w:cs="Arial"/>
        </w:rPr>
        <w:t>Artículo 2.2.1.1.1.6.2 que a la letra señala que “</w:t>
      </w:r>
      <w:r w:rsidRPr="005F2C03">
        <w:rPr>
          <w:rFonts w:cs="Arial"/>
          <w:i/>
          <w:iCs/>
        </w:rPr>
        <w:t xml:space="preserve">La Entidad Estatal debe establecer los requisitos habilitantes en los pliegos de condiciones o en la invitación, teniendo en cuenta: (a) el Riesgo del Proceso de Contratación; (b) el valor del contrato objeto del Proceso de Contratación; (c) el análisis del sector económico respectivo; y (d) </w:t>
      </w:r>
      <w:r w:rsidRPr="005F2C03">
        <w:rPr>
          <w:rFonts w:cs="Arial"/>
          <w:b/>
          <w:bCs/>
          <w:i/>
          <w:iCs/>
          <w:u w:val="single"/>
        </w:rPr>
        <w:t>el conocimiento de fondo de los posibles oferentes desde la perspectiva comercial</w:t>
      </w:r>
      <w:r w:rsidRPr="005F2C03">
        <w:rPr>
          <w:rFonts w:cs="Arial"/>
          <w:i/>
          <w:iCs/>
        </w:rPr>
        <w:t xml:space="preserve">. La Entidad Estatal </w:t>
      </w:r>
      <w:r w:rsidRPr="005F2C03">
        <w:rPr>
          <w:rFonts w:cs="Arial"/>
          <w:b/>
          <w:bCs/>
          <w:i/>
          <w:iCs/>
          <w:u w:val="single"/>
        </w:rPr>
        <w:t>no debe limitarse a la aplicación mecánica de fórmulas financieras para verificar los requisitos habilitantes</w:t>
      </w:r>
      <w:r w:rsidRPr="005F2C03">
        <w:rPr>
          <w:rFonts w:cs="Arial"/>
          <w:i/>
          <w:iCs/>
        </w:rPr>
        <w:t xml:space="preserve">.” </w:t>
      </w:r>
      <w:r w:rsidRPr="005F2C03">
        <w:rPr>
          <w:rFonts w:cs="Arial"/>
        </w:rPr>
        <w:t>(Subrayado y negrilla fuera de texto)”</w:t>
      </w:r>
    </w:p>
    <w:p w14:paraId="57055075" w14:textId="77777777" w:rsidR="00755C97" w:rsidRPr="005F2C03" w:rsidRDefault="00755C97" w:rsidP="00755C97">
      <w:pPr>
        <w:rPr>
          <w:rFonts w:cs="Arial"/>
        </w:rPr>
      </w:pPr>
    </w:p>
    <w:p w14:paraId="01EC823B" w14:textId="77777777" w:rsidR="00755C97" w:rsidRPr="005F2C03" w:rsidRDefault="00755C97" w:rsidP="00755C97">
      <w:pPr>
        <w:rPr>
          <w:rFonts w:cs="Arial"/>
        </w:rPr>
      </w:pPr>
      <w:r w:rsidRPr="005F2C03">
        <w:rPr>
          <w:rFonts w:cs="Arial"/>
        </w:rPr>
        <w:t xml:space="preserve">A su vez, se procede a tener en cuenta las directrices dadas por Colombia Compra Eficiente, a través del Manual para Determinar y Verificar los Requisitos Habilitantes en los Procesos de Contratación, así: </w:t>
      </w:r>
    </w:p>
    <w:p w14:paraId="694CD039" w14:textId="77777777" w:rsidR="00755C97" w:rsidRPr="005F2C03" w:rsidRDefault="00755C97" w:rsidP="00755C97">
      <w:pPr>
        <w:rPr>
          <w:rFonts w:cs="Arial"/>
          <w:i/>
          <w:iCs/>
        </w:rPr>
      </w:pPr>
    </w:p>
    <w:p w14:paraId="42DCFCCA" w14:textId="77777777" w:rsidR="00755C97" w:rsidRPr="005F2C03" w:rsidRDefault="00755C97">
      <w:pPr>
        <w:numPr>
          <w:ilvl w:val="0"/>
          <w:numId w:val="12"/>
        </w:numPr>
        <w:autoSpaceDN w:val="0"/>
        <w:ind w:left="720"/>
        <w:jc w:val="both"/>
        <w:rPr>
          <w:rFonts w:cs="Arial"/>
          <w:i/>
          <w:iCs/>
        </w:rPr>
      </w:pPr>
      <w:r w:rsidRPr="005F2C03">
        <w:rPr>
          <w:rFonts w:cs="Arial"/>
          <w:i/>
          <w:iCs/>
        </w:rPr>
        <w:t>“La promoción de la competencia es uno de los objetivos del sistema de compras y contratación pública, por lo cual es muy importante tener en cuenta que los requisitos habilitantes no son ni pueden ser una forma de restringir la participación en los Procesos de Contratación. El sistema de compras y contratación pública debe promover la participación de más proponentes y el crecimiento de la industria nacional de bienes y servicios y por eso los requisitos habilitantes deben ser adecuados y proporcionales.”</w:t>
      </w:r>
      <w:r w:rsidRPr="005F2C03">
        <w:rPr>
          <w:rStyle w:val="Refdenotaalpie"/>
          <w:rFonts w:cs="Arial"/>
          <w:i/>
          <w:iCs/>
        </w:rPr>
        <w:footnoteReference w:customMarkFollows="1" w:id="11"/>
        <w:t>[1]</w:t>
      </w:r>
    </w:p>
    <w:p w14:paraId="32DAB94F" w14:textId="77777777" w:rsidR="00755C97" w:rsidRPr="005F2C03" w:rsidRDefault="00755C97" w:rsidP="00755C97">
      <w:pPr>
        <w:rPr>
          <w:rFonts w:cs="Arial"/>
        </w:rPr>
      </w:pPr>
    </w:p>
    <w:p w14:paraId="0C03E312" w14:textId="77777777" w:rsidR="00755C97" w:rsidRPr="005F2C03" w:rsidRDefault="00755C97" w:rsidP="00755C97">
      <w:pPr>
        <w:spacing w:line="240" w:lineRule="exact"/>
        <w:jc w:val="both"/>
        <w:rPr>
          <w:rFonts w:cs="Arial"/>
        </w:rPr>
      </w:pPr>
      <w:r w:rsidRPr="005F2C03">
        <w:rPr>
          <w:rFonts w:cs="Arial"/>
        </w:rPr>
        <w:t>Así entonces la Entidad con el fin de promover la competencia en el presente proceso y con el fin de permitir la participación plural de compañías de seguros que comúnmente participan en procesos con Entidades Estatales, se hace necesario establecer los indicadores financieros y de organización acorde al sector asegurador, estableciendo los topes mínimos y máximos, por lo que se hace necesario establecer los indicadores financieros y de organización acorde al sector asegurador, realizando el análisis con los indicadores vigentes y en firme en el Registro Único de Proponentes (RUP).</w:t>
      </w:r>
    </w:p>
    <w:p w14:paraId="0C2AD513" w14:textId="77777777" w:rsidR="00755C97" w:rsidRPr="005F2C03" w:rsidRDefault="00755C97" w:rsidP="00755C97">
      <w:pPr>
        <w:ind w:right="426"/>
        <w:jc w:val="both"/>
        <w:rPr>
          <w:rFonts w:cs="Arial"/>
        </w:rPr>
      </w:pPr>
    </w:p>
    <w:p w14:paraId="623D01D5" w14:textId="6FC28252" w:rsidR="00755C97" w:rsidRPr="005F2C03" w:rsidRDefault="00755C97" w:rsidP="00755C97">
      <w:pPr>
        <w:jc w:val="both"/>
        <w:rPr>
          <w:rFonts w:cs="Arial"/>
          <w:color w:val="000000"/>
          <w:lang w:val="es-ES_tradnl"/>
        </w:rPr>
      </w:pPr>
      <w:r w:rsidRPr="005F2C03">
        <w:rPr>
          <w:rFonts w:cs="Arial"/>
          <w:color w:val="000000"/>
          <w:lang w:val="es-ES_tradnl"/>
        </w:rPr>
        <w:t xml:space="preserve">Conforme con lo anterior, la verificación de capacidad financiera y organizacional de las propuestas se efectuará a partir de la información financiera </w:t>
      </w:r>
      <w:r w:rsidR="00F00ED4" w:rsidRPr="005F2C03">
        <w:rPr>
          <w:rFonts w:cs="Arial"/>
          <w:color w:val="000000"/>
          <w:lang w:val="es-ES_tradnl"/>
        </w:rPr>
        <w:t xml:space="preserve">que se encuentre registrada en el RUP </w:t>
      </w:r>
      <w:r w:rsidRPr="005F2C03">
        <w:rPr>
          <w:rFonts w:cs="Arial"/>
          <w:color w:val="000000"/>
          <w:lang w:val="es-ES_tradnl"/>
        </w:rPr>
        <w:t>con corte a 31 de diciembre de 2023.</w:t>
      </w:r>
    </w:p>
    <w:p w14:paraId="4E264906" w14:textId="77777777" w:rsidR="00F00ED4" w:rsidRPr="005F2C03" w:rsidRDefault="00F00ED4" w:rsidP="00755C97">
      <w:pPr>
        <w:jc w:val="both"/>
        <w:rPr>
          <w:rFonts w:cs="Arial"/>
          <w:color w:val="000000"/>
          <w:lang w:val="es-ES_tradnl"/>
        </w:rPr>
      </w:pPr>
    </w:p>
    <w:p w14:paraId="3F6AA497" w14:textId="1F5E3899" w:rsidR="00755C97" w:rsidRPr="005F2C03" w:rsidRDefault="00755C97" w:rsidP="001D21F6">
      <w:pPr>
        <w:pStyle w:val="Sinespaciado3"/>
        <w:ind w:right="51"/>
        <w:jc w:val="both"/>
        <w:rPr>
          <w:rFonts w:ascii="Arial Narrow" w:hAnsi="Arial Narrow" w:cs="Arial"/>
          <w:b/>
          <w:bCs/>
          <w:lang w:val="es-CO"/>
        </w:rPr>
      </w:pPr>
      <w:r w:rsidRPr="005F2C03">
        <w:rPr>
          <w:rFonts w:ascii="Arial Narrow" w:hAnsi="Arial Narrow" w:cs="Arial"/>
          <w:b/>
          <w:bCs/>
          <w:lang w:val="es-CO"/>
        </w:rPr>
        <w:t>CAPACIDAD FINANCIERA</w:t>
      </w:r>
    </w:p>
    <w:p w14:paraId="61095E11" w14:textId="77777777" w:rsidR="00755C97" w:rsidRPr="005F2C03" w:rsidRDefault="00755C97" w:rsidP="00755C97">
      <w:pPr>
        <w:jc w:val="both"/>
        <w:rPr>
          <w:rFonts w:cs="Arial"/>
        </w:rPr>
      </w:pPr>
    </w:p>
    <w:p w14:paraId="07E96236" w14:textId="77777777" w:rsidR="00755C97" w:rsidRPr="005F2C03" w:rsidRDefault="00755C97">
      <w:pPr>
        <w:pStyle w:val="Sinespaciado3"/>
        <w:numPr>
          <w:ilvl w:val="0"/>
          <w:numId w:val="13"/>
        </w:numPr>
        <w:ind w:right="51"/>
        <w:jc w:val="both"/>
        <w:rPr>
          <w:rFonts w:ascii="Arial Narrow" w:hAnsi="Arial Narrow" w:cs="Arial"/>
          <w:b/>
          <w:bCs/>
          <w:lang w:val="es-CO"/>
        </w:rPr>
      </w:pPr>
      <w:r w:rsidRPr="005F2C03">
        <w:rPr>
          <w:rFonts w:ascii="Arial Narrow" w:hAnsi="Arial Narrow" w:cs="Arial"/>
          <w:b/>
          <w:bCs/>
          <w:lang w:val="es-CO"/>
        </w:rPr>
        <w:t>Indicador de Liquidez</w:t>
      </w:r>
    </w:p>
    <w:p w14:paraId="1F697372" w14:textId="77777777" w:rsidR="00755C97" w:rsidRPr="005F2C03" w:rsidRDefault="00755C97" w:rsidP="00755C97">
      <w:pPr>
        <w:pStyle w:val="Sinespaciado3"/>
        <w:ind w:right="51"/>
        <w:jc w:val="both"/>
        <w:rPr>
          <w:rFonts w:ascii="Arial Narrow" w:hAnsi="Arial Narrow" w:cs="Arial"/>
          <w:bCs/>
          <w:lang w:val="es-CO"/>
        </w:rPr>
      </w:pPr>
    </w:p>
    <w:p w14:paraId="2B7E92A0" w14:textId="77777777" w:rsidR="00755C97" w:rsidRPr="005F2C03" w:rsidRDefault="00755C97" w:rsidP="00755C97">
      <w:pPr>
        <w:spacing w:line="240" w:lineRule="exact"/>
        <w:jc w:val="both"/>
        <w:rPr>
          <w:rFonts w:eastAsia="Batang" w:cs="Arial"/>
        </w:rPr>
      </w:pPr>
      <w:r w:rsidRPr="005F2C03">
        <w:rPr>
          <w:rFonts w:eastAsia="Batang" w:cs="Arial"/>
        </w:rPr>
        <w:t>Este determina la capacidad del proponente para hacer frente a sus obligaciones a corto plazo, comprometiendo sus activos corrientes, es decir que, por cada peso ($) de deuda corriente, cuánto se tiene de respaldo en activo corriente, por lo tanto, entre más alto sea el resultado, menor riesgo existe que resulten impagadas las obligaciones a corto plazo. De igual manera, el índice de liquidez demuestra la capacidad de la compañía para adquirir nuevos compromisos y emprender nuevos proyectos sin necesitad de endeudamiento adicional.</w:t>
      </w:r>
    </w:p>
    <w:p w14:paraId="31CBDAC8" w14:textId="77777777" w:rsidR="00755C97" w:rsidRPr="005F2C03" w:rsidRDefault="00755C97" w:rsidP="00755C97">
      <w:pPr>
        <w:spacing w:line="240" w:lineRule="exact"/>
        <w:jc w:val="both"/>
        <w:rPr>
          <w:rFonts w:eastAsia="Batang" w:cs="Arial"/>
        </w:rPr>
      </w:pPr>
    </w:p>
    <w:p w14:paraId="7494F3E5" w14:textId="77777777" w:rsidR="00755C97" w:rsidRPr="005F2C03" w:rsidRDefault="00755C97" w:rsidP="00755C97">
      <w:pPr>
        <w:spacing w:line="240" w:lineRule="exact"/>
        <w:jc w:val="both"/>
        <w:rPr>
          <w:rFonts w:eastAsia="Batang" w:cs="Arial"/>
        </w:rPr>
      </w:pPr>
      <w:r w:rsidRPr="005F2C03">
        <w:rPr>
          <w:rFonts w:eastAsia="Batang" w:cs="Arial"/>
        </w:rPr>
        <w:t xml:space="preserve">La fórmula para su cálculo es la siguiente: </w:t>
      </w:r>
      <w:r w:rsidRPr="005F2C03">
        <w:rPr>
          <w:rFonts w:eastAsia="Batang" w:cs="Arial"/>
          <w:u w:val="single"/>
        </w:rPr>
        <w:t>(Activo corriente/Pasivo corriente)</w:t>
      </w:r>
      <w:r w:rsidRPr="005F2C03">
        <w:rPr>
          <w:rFonts w:eastAsia="Batang" w:cs="Arial"/>
        </w:rPr>
        <w:t>.</w:t>
      </w:r>
    </w:p>
    <w:p w14:paraId="115D9A75" w14:textId="77777777" w:rsidR="00755C97" w:rsidRPr="005F2C03" w:rsidRDefault="00755C97" w:rsidP="00755C97">
      <w:pPr>
        <w:spacing w:line="240" w:lineRule="exact"/>
        <w:jc w:val="both"/>
        <w:rPr>
          <w:rFonts w:eastAsia="Batang" w:cs="Arial"/>
        </w:rPr>
      </w:pPr>
    </w:p>
    <w:p w14:paraId="4EFB38EB" w14:textId="77777777" w:rsidR="00755C97" w:rsidRPr="005F2C03" w:rsidRDefault="00755C97" w:rsidP="00755C97">
      <w:pPr>
        <w:spacing w:line="240" w:lineRule="exact"/>
        <w:jc w:val="both"/>
        <w:rPr>
          <w:rFonts w:eastAsia="Batang" w:cs="Arial"/>
        </w:rPr>
      </w:pPr>
      <w:r w:rsidRPr="005F2C03">
        <w:rPr>
          <w:rFonts w:eastAsia="Batang" w:cs="Arial"/>
        </w:rPr>
        <w:t>El margen de las Compañías de Seguros, que habitualmente participan en procesos de contratación estatal son los siguientes:</w:t>
      </w:r>
    </w:p>
    <w:p w14:paraId="16C374FA" w14:textId="77777777" w:rsidR="00755C97" w:rsidRPr="005F2C03" w:rsidRDefault="00755C97" w:rsidP="00755C97">
      <w:pPr>
        <w:spacing w:line="240" w:lineRule="exact"/>
        <w:jc w:val="both"/>
        <w:rPr>
          <w:rFonts w:eastAsia="Batang" w:cs="Arial"/>
        </w:rPr>
      </w:pPr>
    </w:p>
    <w:tbl>
      <w:tblPr>
        <w:tblW w:w="3750" w:type="pct"/>
        <w:jc w:val="center"/>
        <w:tblCellMar>
          <w:left w:w="70" w:type="dxa"/>
          <w:right w:w="70" w:type="dxa"/>
        </w:tblCellMar>
        <w:tblLook w:val="04A0" w:firstRow="1" w:lastRow="0" w:firstColumn="1" w:lastColumn="0" w:noHBand="0" w:noVBand="1"/>
      </w:tblPr>
      <w:tblGrid>
        <w:gridCol w:w="5691"/>
        <w:gridCol w:w="930"/>
      </w:tblGrid>
      <w:tr w:rsidR="00755C97" w:rsidRPr="005F2C03" w14:paraId="2867F71C" w14:textId="77777777" w:rsidTr="00755C97">
        <w:trPr>
          <w:trHeight w:val="27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F4761"/>
            <w:vAlign w:val="center"/>
            <w:hideMark/>
          </w:tcPr>
          <w:p w14:paraId="636B59FC" w14:textId="77777777" w:rsidR="00755C97" w:rsidRPr="005F2C03" w:rsidRDefault="00755C97">
            <w:pPr>
              <w:spacing w:line="276" w:lineRule="auto"/>
              <w:jc w:val="center"/>
              <w:rPr>
                <w:rFonts w:eastAsia="Calibri" w:cs="Arial"/>
                <w:b/>
                <w:bCs/>
                <w:kern w:val="2"/>
                <w:lang w:eastAsia="es-ES"/>
                <w14:ligatures w14:val="standardContextual"/>
              </w:rPr>
            </w:pPr>
            <w:r w:rsidRPr="005F2C03">
              <w:rPr>
                <w:rFonts w:eastAsia="Calibri" w:cs="Arial"/>
                <w:b/>
                <w:bCs/>
                <w:color w:val="FFFFFF"/>
                <w:kern w:val="2"/>
                <w14:ligatures w14:val="standardContextual"/>
              </w:rPr>
              <w:t>ÍNDICE DE LIQUIDEZ</w:t>
            </w:r>
          </w:p>
        </w:tc>
      </w:tr>
      <w:tr w:rsidR="00755C97" w:rsidRPr="005F2C03" w14:paraId="10F30C50"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83CAEB"/>
            <w:vAlign w:val="center"/>
            <w:hideMark/>
          </w:tcPr>
          <w:p w14:paraId="377FA97D" w14:textId="77777777" w:rsidR="00755C97" w:rsidRPr="005F2C03" w:rsidRDefault="00755C97">
            <w:pPr>
              <w:spacing w:line="276" w:lineRule="auto"/>
              <w:jc w:val="both"/>
              <w:rPr>
                <w:rFonts w:eastAsia="Calibri" w:cs="Arial"/>
                <w:b/>
                <w:bCs/>
                <w:kern w:val="2"/>
                <w:lang w:eastAsia="es-ES_tradnl"/>
                <w14:ligatures w14:val="standardContextual"/>
              </w:rPr>
            </w:pPr>
            <w:r w:rsidRPr="005F2C03">
              <w:rPr>
                <w:rFonts w:eastAsia="Calibri" w:cs="Arial"/>
                <w:b/>
                <w:bCs/>
                <w:kern w:val="2"/>
                <w14:ligatures w14:val="standardContextual"/>
              </w:rPr>
              <w:t>ASEGURADORA / AÑO</w:t>
            </w:r>
          </w:p>
        </w:tc>
        <w:tc>
          <w:tcPr>
            <w:tcW w:w="702" w:type="pct"/>
            <w:tcBorders>
              <w:top w:val="nil"/>
              <w:left w:val="nil"/>
              <w:bottom w:val="single" w:sz="4" w:space="0" w:color="auto"/>
              <w:right w:val="single" w:sz="4" w:space="0" w:color="auto"/>
            </w:tcBorders>
            <w:shd w:val="clear" w:color="auto" w:fill="83CAEB"/>
            <w:vAlign w:val="center"/>
            <w:hideMark/>
          </w:tcPr>
          <w:p w14:paraId="379602B8" w14:textId="77777777" w:rsidR="00755C97" w:rsidRPr="005F2C03" w:rsidRDefault="00755C97">
            <w:pPr>
              <w:spacing w:line="276" w:lineRule="auto"/>
              <w:jc w:val="center"/>
              <w:rPr>
                <w:rFonts w:eastAsia="Calibri" w:cs="Arial"/>
                <w:b/>
                <w:bCs/>
                <w:kern w:val="2"/>
                <w14:ligatures w14:val="standardContextual"/>
              </w:rPr>
            </w:pPr>
            <w:r w:rsidRPr="005F2C03">
              <w:rPr>
                <w:rFonts w:eastAsia="Calibri" w:cs="Arial"/>
                <w:b/>
                <w:bCs/>
                <w:kern w:val="2"/>
                <w14:ligatures w14:val="standardContextual"/>
              </w:rPr>
              <w:t>2023</w:t>
            </w:r>
          </w:p>
        </w:tc>
      </w:tr>
      <w:tr w:rsidR="00755C97" w:rsidRPr="005F2C03" w14:paraId="2E746DA5"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572C06C5"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 xml:space="preserve">ALLIANZ SEGUROS S.A. </w:t>
            </w:r>
          </w:p>
        </w:tc>
        <w:tc>
          <w:tcPr>
            <w:tcW w:w="702" w:type="pct"/>
            <w:tcBorders>
              <w:top w:val="nil"/>
              <w:left w:val="nil"/>
              <w:bottom w:val="single" w:sz="4" w:space="0" w:color="auto"/>
              <w:right w:val="single" w:sz="4" w:space="0" w:color="auto"/>
            </w:tcBorders>
            <w:shd w:val="clear" w:color="auto" w:fill="F2F2F2"/>
            <w:noWrap/>
            <w:vAlign w:val="center"/>
            <w:hideMark/>
          </w:tcPr>
          <w:p w14:paraId="4F0C85C3"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5.67</w:t>
            </w:r>
          </w:p>
        </w:tc>
      </w:tr>
      <w:tr w:rsidR="00755C97" w:rsidRPr="005F2C03" w14:paraId="3362C8F8"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39F2AAF"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ASEGURADORA SOLIDARIA DE COLOMBIA E.C.</w:t>
            </w:r>
          </w:p>
        </w:tc>
        <w:tc>
          <w:tcPr>
            <w:tcW w:w="702" w:type="pct"/>
            <w:tcBorders>
              <w:top w:val="nil"/>
              <w:left w:val="nil"/>
              <w:bottom w:val="single" w:sz="4" w:space="0" w:color="auto"/>
              <w:right w:val="single" w:sz="4" w:space="0" w:color="auto"/>
            </w:tcBorders>
            <w:shd w:val="clear" w:color="auto" w:fill="F2F2F2"/>
            <w:noWrap/>
            <w:vAlign w:val="center"/>
            <w:hideMark/>
          </w:tcPr>
          <w:p w14:paraId="4C3549F3"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1.81</w:t>
            </w:r>
          </w:p>
        </w:tc>
      </w:tr>
      <w:tr w:rsidR="00755C97" w:rsidRPr="005F2C03" w14:paraId="295BF8DB"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FC495D4"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AXA COLPATRIA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63B4C7A5"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1.13</w:t>
            </w:r>
          </w:p>
        </w:tc>
      </w:tr>
      <w:tr w:rsidR="00755C97" w:rsidRPr="005F2C03" w14:paraId="6599DC11"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866C353"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CHUBB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296011DC"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2.18</w:t>
            </w:r>
          </w:p>
        </w:tc>
      </w:tr>
      <w:tr w:rsidR="00755C97" w:rsidRPr="005F2C03" w14:paraId="48EB7F87"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5A9C6C63"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COMPAÑÍA MUNDIAL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3DF7079A"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2.35</w:t>
            </w:r>
          </w:p>
        </w:tc>
      </w:tr>
      <w:tr w:rsidR="00755C97" w:rsidRPr="005F2C03" w14:paraId="5BA2D1C6"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D883D0E"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HDI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3E9B01DA"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3.64</w:t>
            </w:r>
          </w:p>
        </w:tc>
      </w:tr>
      <w:tr w:rsidR="00755C97" w:rsidRPr="005F2C03" w14:paraId="4EADB1C6"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10568102"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LA EQUIDAD SEGUROS GENERALES O.C.</w:t>
            </w:r>
          </w:p>
        </w:tc>
        <w:tc>
          <w:tcPr>
            <w:tcW w:w="702" w:type="pct"/>
            <w:tcBorders>
              <w:top w:val="nil"/>
              <w:left w:val="nil"/>
              <w:bottom w:val="single" w:sz="4" w:space="0" w:color="auto"/>
              <w:right w:val="single" w:sz="4" w:space="0" w:color="auto"/>
            </w:tcBorders>
            <w:shd w:val="clear" w:color="auto" w:fill="F2F2F2"/>
            <w:noWrap/>
            <w:vAlign w:val="center"/>
            <w:hideMark/>
          </w:tcPr>
          <w:p w14:paraId="619FE8AA"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1.32</w:t>
            </w:r>
          </w:p>
        </w:tc>
      </w:tr>
      <w:tr w:rsidR="00755C97" w:rsidRPr="005F2C03" w14:paraId="3C7889AF"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889E7F8"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LA PREVISORA S.A. COMPAÑÍA DE SEGUROS</w:t>
            </w:r>
          </w:p>
        </w:tc>
        <w:tc>
          <w:tcPr>
            <w:tcW w:w="702" w:type="pct"/>
            <w:tcBorders>
              <w:top w:val="nil"/>
              <w:left w:val="nil"/>
              <w:bottom w:val="single" w:sz="4" w:space="0" w:color="auto"/>
              <w:right w:val="single" w:sz="4" w:space="0" w:color="auto"/>
            </w:tcBorders>
            <w:shd w:val="clear" w:color="auto" w:fill="F2F2F2"/>
            <w:noWrap/>
            <w:vAlign w:val="center"/>
            <w:hideMark/>
          </w:tcPr>
          <w:p w14:paraId="5D951CA3"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2.66</w:t>
            </w:r>
          </w:p>
        </w:tc>
      </w:tr>
      <w:tr w:rsidR="00755C97" w:rsidRPr="005F2C03" w14:paraId="7EFB082E"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746CAB3"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LIBERTY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71DB23D8"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3.72</w:t>
            </w:r>
          </w:p>
        </w:tc>
      </w:tr>
      <w:tr w:rsidR="00755C97" w:rsidRPr="005F2C03" w14:paraId="0367ED4D"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F75D082"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MAPFRE SEGUROS GENERALES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65CCF88C"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0.96</w:t>
            </w:r>
          </w:p>
        </w:tc>
      </w:tr>
      <w:tr w:rsidR="00755C97" w:rsidRPr="005F2C03" w14:paraId="2E0C34B8"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5075FAA"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POSITIVA COMPAÑÍA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46EDDB8B"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4.02</w:t>
            </w:r>
          </w:p>
        </w:tc>
      </w:tr>
      <w:tr w:rsidR="00755C97" w:rsidRPr="005F2C03" w14:paraId="66EF96F6"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54F4CCA"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SBS SEGUROS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6E41A1F8"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3.57</w:t>
            </w:r>
          </w:p>
        </w:tc>
      </w:tr>
      <w:tr w:rsidR="00755C97" w:rsidRPr="005F2C03" w14:paraId="267CFDC6"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107F3C8D"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lastRenderedPageBreak/>
              <w:t>SEGUROS DEL ESTADO S.A.</w:t>
            </w:r>
          </w:p>
        </w:tc>
        <w:tc>
          <w:tcPr>
            <w:tcW w:w="702" w:type="pct"/>
            <w:tcBorders>
              <w:top w:val="nil"/>
              <w:left w:val="nil"/>
              <w:bottom w:val="single" w:sz="4" w:space="0" w:color="auto"/>
              <w:right w:val="single" w:sz="4" w:space="0" w:color="auto"/>
            </w:tcBorders>
            <w:shd w:val="clear" w:color="auto" w:fill="F2F2F2"/>
            <w:noWrap/>
            <w:vAlign w:val="center"/>
            <w:hideMark/>
          </w:tcPr>
          <w:p w14:paraId="7C42B740"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3.02</w:t>
            </w:r>
          </w:p>
        </w:tc>
      </w:tr>
      <w:tr w:rsidR="00755C97" w:rsidRPr="005F2C03" w14:paraId="52A529CB"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4206195"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GENERALES SURAMERICANA S.A.</w:t>
            </w:r>
          </w:p>
        </w:tc>
        <w:tc>
          <w:tcPr>
            <w:tcW w:w="702" w:type="pct"/>
            <w:tcBorders>
              <w:top w:val="nil"/>
              <w:left w:val="nil"/>
              <w:bottom w:val="single" w:sz="4" w:space="0" w:color="auto"/>
              <w:right w:val="single" w:sz="4" w:space="0" w:color="auto"/>
            </w:tcBorders>
            <w:shd w:val="clear" w:color="auto" w:fill="F2F2F2"/>
            <w:noWrap/>
            <w:vAlign w:val="center"/>
            <w:hideMark/>
          </w:tcPr>
          <w:p w14:paraId="094C6401"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1.22</w:t>
            </w:r>
          </w:p>
        </w:tc>
      </w:tr>
      <w:tr w:rsidR="00755C97" w:rsidRPr="005F2C03" w14:paraId="29532DDA"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54129C3"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ZURICH COLOMBIA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4FEBEF96"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1.08</w:t>
            </w:r>
          </w:p>
        </w:tc>
      </w:tr>
    </w:tbl>
    <w:p w14:paraId="7712CE4C" w14:textId="77777777" w:rsidR="00755C97" w:rsidRPr="005F2C03" w:rsidRDefault="00755C97" w:rsidP="00755C97">
      <w:pPr>
        <w:jc w:val="center"/>
        <w:rPr>
          <w:rFonts w:eastAsia="Times New Roman" w:cs="Arial"/>
          <w:sz w:val="18"/>
          <w:szCs w:val="18"/>
          <w:lang w:eastAsia="es-ES_tradnl"/>
        </w:rPr>
      </w:pPr>
      <w:r w:rsidRPr="005F2C03">
        <w:rPr>
          <w:rFonts w:cs="Arial"/>
          <w:sz w:val="18"/>
          <w:szCs w:val="18"/>
        </w:rPr>
        <w:t>Fuente: Información tomada del RUP de cada aseguradora que participa en los procesos de contratación estatal con firmeza 2023</w:t>
      </w:r>
    </w:p>
    <w:p w14:paraId="27812C1A" w14:textId="77777777" w:rsidR="00755C97" w:rsidRPr="005F2C03" w:rsidRDefault="00755C97" w:rsidP="00755C97">
      <w:pPr>
        <w:jc w:val="center"/>
        <w:rPr>
          <w:rFonts w:cs="Arial"/>
          <w:sz w:val="18"/>
          <w:szCs w:val="18"/>
        </w:rPr>
      </w:pPr>
    </w:p>
    <w:p w14:paraId="2185A9E7" w14:textId="77777777" w:rsidR="00755C97" w:rsidRPr="005F2C03" w:rsidRDefault="00755C97" w:rsidP="00755C97">
      <w:pPr>
        <w:jc w:val="both"/>
        <w:rPr>
          <w:rFonts w:cs="Arial"/>
        </w:rPr>
      </w:pPr>
      <w:r w:rsidRPr="005F2C03">
        <w:rPr>
          <w:rFonts w:cs="Arial"/>
        </w:rPr>
        <w:t xml:space="preserve">Para la Entidad es significativo que los oferentes tengan un índice de liquidez mayor o igual 1.20 ya que ello constituye una muestra de buena gestión financiera de una empresa para hacer frente, con su disponibilidad de liquidez, a sus obligaciones en el corto plazo y, por ende, acreditar su solvencia. </w:t>
      </w:r>
    </w:p>
    <w:p w14:paraId="1FD3CF32" w14:textId="77777777" w:rsidR="00755C97" w:rsidRPr="005F2C03" w:rsidRDefault="00755C97" w:rsidP="00755C97">
      <w:pPr>
        <w:pStyle w:val="Prrafodelista"/>
        <w:autoSpaceDN w:val="0"/>
        <w:ind w:left="0"/>
        <w:jc w:val="both"/>
        <w:rPr>
          <w:rFonts w:cs="Arial"/>
        </w:rPr>
      </w:pPr>
    </w:p>
    <w:p w14:paraId="441D3CFC" w14:textId="781FBFE3" w:rsidR="00755C97" w:rsidRPr="005F2C03" w:rsidRDefault="00755C97" w:rsidP="00755C97">
      <w:pPr>
        <w:pStyle w:val="Sinespaciado3"/>
        <w:ind w:right="51"/>
        <w:jc w:val="both"/>
        <w:rPr>
          <w:rFonts w:ascii="Arial Narrow" w:eastAsiaTheme="minorHAnsi" w:hAnsi="Arial Narrow" w:cs="Arial"/>
          <w:u w:color="000000"/>
          <w:lang w:val="es-CO"/>
        </w:rPr>
      </w:pPr>
      <w:r w:rsidRPr="005F2C03">
        <w:rPr>
          <w:rFonts w:ascii="Arial Narrow" w:eastAsiaTheme="minorHAnsi" w:hAnsi="Arial Narrow" w:cs="Arial"/>
          <w:u w:color="000000"/>
          <w:lang w:val="es-CO"/>
        </w:rPr>
        <w:t xml:space="preserve">En ese orden de ideas, se determina un </w:t>
      </w:r>
      <w:r w:rsidRPr="005F2C03">
        <w:rPr>
          <w:rFonts w:ascii="Arial Narrow" w:eastAsiaTheme="minorHAnsi" w:hAnsi="Arial Narrow" w:cs="Arial"/>
          <w:b/>
          <w:bCs/>
          <w:u w:val="single" w:color="000000"/>
          <w:lang w:val="es-CO"/>
        </w:rPr>
        <w:t>indicador de liquidez igual o mayor a cero punto noventa y seis (0.96)</w:t>
      </w:r>
      <w:r w:rsidRPr="005F2C03">
        <w:rPr>
          <w:rFonts w:ascii="Arial Narrow" w:eastAsiaTheme="minorHAnsi" w:hAnsi="Arial Narrow" w:cs="Arial"/>
          <w:u w:color="000000"/>
          <w:lang w:val="es-CO"/>
        </w:rPr>
        <w:t xml:space="preserve"> para garantizar el principio de igualdad, la libre concurrencia, transparencia y selección objetiva.</w:t>
      </w:r>
    </w:p>
    <w:p w14:paraId="13565C40" w14:textId="77777777" w:rsidR="00755C97" w:rsidRPr="005F2C03" w:rsidRDefault="00755C97" w:rsidP="00755C97">
      <w:pPr>
        <w:pStyle w:val="Sinespaciado3"/>
        <w:ind w:right="51"/>
        <w:jc w:val="both"/>
        <w:rPr>
          <w:rFonts w:ascii="Arial Narrow" w:hAnsi="Arial Narrow" w:cs="Arial"/>
          <w:b/>
          <w:bCs/>
          <w:lang w:val="es-ES"/>
        </w:rPr>
      </w:pPr>
    </w:p>
    <w:p w14:paraId="30B966B1" w14:textId="77777777" w:rsidR="00755C97" w:rsidRPr="005F2C03" w:rsidRDefault="00755C97">
      <w:pPr>
        <w:pStyle w:val="Sinespaciado3"/>
        <w:numPr>
          <w:ilvl w:val="0"/>
          <w:numId w:val="13"/>
        </w:numPr>
        <w:ind w:right="51"/>
        <w:jc w:val="both"/>
        <w:rPr>
          <w:rFonts w:ascii="Arial Narrow" w:hAnsi="Arial Narrow" w:cs="Arial"/>
          <w:b/>
          <w:bCs/>
          <w:lang w:val="es-CO"/>
        </w:rPr>
      </w:pPr>
      <w:r w:rsidRPr="005F2C03">
        <w:rPr>
          <w:rFonts w:ascii="Arial Narrow" w:hAnsi="Arial Narrow" w:cs="Arial"/>
          <w:b/>
          <w:bCs/>
          <w:lang w:val="es-CO"/>
        </w:rPr>
        <w:t>Indicador de Nivel de Endeudamiento</w:t>
      </w:r>
    </w:p>
    <w:p w14:paraId="53A5514B" w14:textId="77777777" w:rsidR="00755C97" w:rsidRPr="005F2C03" w:rsidRDefault="00755C97" w:rsidP="00755C97">
      <w:pPr>
        <w:pStyle w:val="Sinespaciado3"/>
        <w:ind w:right="51"/>
        <w:jc w:val="both"/>
        <w:rPr>
          <w:rFonts w:ascii="Arial Narrow" w:hAnsi="Arial Narrow" w:cs="Arial"/>
          <w:bCs/>
          <w:lang w:val="es-CO"/>
        </w:rPr>
      </w:pPr>
    </w:p>
    <w:p w14:paraId="082C7E8B" w14:textId="77777777" w:rsidR="00755C97" w:rsidRPr="005F2C03" w:rsidRDefault="00755C97" w:rsidP="00755C97">
      <w:pPr>
        <w:spacing w:line="240" w:lineRule="atLeast"/>
        <w:jc w:val="both"/>
        <w:rPr>
          <w:rFonts w:eastAsia="Arial MT" w:cs="Arial"/>
        </w:rPr>
      </w:pPr>
      <w:r w:rsidRPr="005F2C03">
        <w:rPr>
          <w:rFonts w:eastAsia="Arial MT" w:cs="Arial"/>
        </w:rPr>
        <w:t>Este indicador refleja el grado de apalancamiento que corresponde a la participación de los acreedores en los activos de la empresa, razón por la cual, se realizó una evaluación de los indicadores de nivel de endeudamiento que muestra el mercado asegurador y de éste se puede deducir que los mismos arrojan un porcentaje alto en lo atinente al nivel de endeudamiento.</w:t>
      </w:r>
    </w:p>
    <w:p w14:paraId="2DFF5B3C" w14:textId="77777777" w:rsidR="00755C97" w:rsidRPr="005F2C03" w:rsidRDefault="00755C97" w:rsidP="00755C97">
      <w:pPr>
        <w:spacing w:line="240" w:lineRule="atLeast"/>
        <w:jc w:val="both"/>
        <w:rPr>
          <w:rFonts w:eastAsia="Arial MT" w:cs="Arial"/>
        </w:rPr>
      </w:pPr>
    </w:p>
    <w:p w14:paraId="385BE43D" w14:textId="77777777" w:rsidR="00755C97" w:rsidRPr="005F2C03" w:rsidRDefault="00755C97" w:rsidP="00755C97">
      <w:pPr>
        <w:spacing w:line="240" w:lineRule="atLeast"/>
        <w:jc w:val="both"/>
        <w:rPr>
          <w:rFonts w:eastAsia="Arial MT" w:cs="Arial"/>
        </w:rPr>
      </w:pPr>
      <w:r w:rsidRPr="005F2C03">
        <w:rPr>
          <w:rFonts w:eastAsia="Batang" w:cs="Arial"/>
        </w:rPr>
        <w:t xml:space="preserve">La fórmula para su cálculo es la siguiente: </w:t>
      </w:r>
      <w:r w:rsidRPr="005F2C03">
        <w:rPr>
          <w:rFonts w:eastAsia="Batang" w:cs="Arial"/>
          <w:u w:val="single"/>
        </w:rPr>
        <w:t>(Pasivo Total / Activo Total) *100</w:t>
      </w:r>
      <w:r w:rsidRPr="005F2C03">
        <w:rPr>
          <w:rFonts w:eastAsia="Batang" w:cs="Arial"/>
        </w:rPr>
        <w:t>.</w:t>
      </w:r>
    </w:p>
    <w:p w14:paraId="384FD107" w14:textId="77777777" w:rsidR="00755C97" w:rsidRPr="005F2C03" w:rsidRDefault="00755C97" w:rsidP="00755C97">
      <w:pPr>
        <w:spacing w:line="240" w:lineRule="atLeast"/>
        <w:jc w:val="both"/>
        <w:rPr>
          <w:rFonts w:eastAsia="Arial MT" w:cs="Arial"/>
        </w:rPr>
      </w:pPr>
    </w:p>
    <w:p w14:paraId="6912BD5A" w14:textId="77777777" w:rsidR="00755C97" w:rsidRPr="005F2C03" w:rsidRDefault="00755C97" w:rsidP="00755C97">
      <w:pPr>
        <w:spacing w:line="240" w:lineRule="atLeast"/>
        <w:jc w:val="both"/>
        <w:rPr>
          <w:rFonts w:eastAsia="Arial MT" w:cs="Arial"/>
        </w:rPr>
      </w:pPr>
      <w:r w:rsidRPr="005F2C03">
        <w:rPr>
          <w:rFonts w:eastAsia="Arial MT" w:cs="Arial"/>
        </w:rPr>
        <w:t>Igualmente es importante resaltar, que las aseguradoras, se encuentran bajo el control y vigilancia de la Superintendencia Financiera de Colombia, y en cumplimiento de la regulación establecida, deben constituir y cumplir con el régimen de reservas técnicas mínimas para poder operar en el país.</w:t>
      </w:r>
    </w:p>
    <w:p w14:paraId="0EF70E4C" w14:textId="77777777" w:rsidR="00755C97" w:rsidRPr="005F2C03" w:rsidRDefault="00755C97" w:rsidP="00755C97">
      <w:pPr>
        <w:spacing w:line="240" w:lineRule="atLeast"/>
        <w:jc w:val="both"/>
        <w:rPr>
          <w:rFonts w:eastAsia="Arial MT" w:cs="Arial"/>
        </w:rPr>
      </w:pPr>
    </w:p>
    <w:p w14:paraId="36EC42F7" w14:textId="77777777" w:rsidR="00755C97" w:rsidRPr="005F2C03" w:rsidRDefault="00755C97" w:rsidP="00755C97">
      <w:pPr>
        <w:ind w:left="284"/>
        <w:jc w:val="both"/>
        <w:rPr>
          <w:rFonts w:eastAsia="Times New Roman" w:cs="Arial"/>
          <w:i/>
          <w:lang w:eastAsia="es-CO"/>
        </w:rPr>
      </w:pPr>
      <w:r w:rsidRPr="005F2C03">
        <w:rPr>
          <w:rFonts w:cs="Arial"/>
          <w:i/>
          <w:lang w:eastAsia="es-CO"/>
        </w:rPr>
        <w:t>"Artículo 186. Régimen de reservas técnicas e inversiones. Las entidades aseguradoras y las que administren el Sistema General de Riesgos Profesionales, cualquiera que sea su naturaleza, deberán constituir, entre otras, las siguientes reservas técnicas, de acuerdo con las normas de carácter general que para el efecto expida el Gobierno Nacional:</w:t>
      </w:r>
    </w:p>
    <w:p w14:paraId="20D1D0E7" w14:textId="77777777" w:rsidR="00755C97" w:rsidRPr="005F2C03" w:rsidRDefault="00755C97" w:rsidP="00755C97">
      <w:pPr>
        <w:ind w:left="284"/>
        <w:jc w:val="both"/>
        <w:rPr>
          <w:rFonts w:cs="Arial"/>
          <w:i/>
          <w:lang w:eastAsia="es-CO"/>
        </w:rPr>
      </w:pPr>
    </w:p>
    <w:p w14:paraId="2C47F939" w14:textId="77777777" w:rsidR="00755C97" w:rsidRPr="005F2C03" w:rsidRDefault="00755C97" w:rsidP="00755C97">
      <w:pPr>
        <w:ind w:left="284" w:firstLine="283"/>
        <w:jc w:val="both"/>
        <w:rPr>
          <w:rFonts w:cs="Arial"/>
          <w:i/>
          <w:lang w:eastAsia="es-CO"/>
        </w:rPr>
      </w:pPr>
      <w:r w:rsidRPr="005F2C03">
        <w:rPr>
          <w:rFonts w:cs="Arial"/>
          <w:i/>
          <w:lang w:eastAsia="es-CO"/>
        </w:rPr>
        <w:t>a) Reserva de riesgos en curso;</w:t>
      </w:r>
    </w:p>
    <w:p w14:paraId="6030C83C" w14:textId="77777777" w:rsidR="00755C97" w:rsidRPr="005F2C03" w:rsidRDefault="00755C97" w:rsidP="00755C97">
      <w:pPr>
        <w:ind w:left="284" w:firstLine="283"/>
        <w:jc w:val="both"/>
        <w:rPr>
          <w:rFonts w:cs="Arial"/>
          <w:i/>
          <w:lang w:eastAsia="es-CO"/>
        </w:rPr>
      </w:pPr>
      <w:r w:rsidRPr="005F2C03">
        <w:rPr>
          <w:rFonts w:cs="Arial"/>
          <w:i/>
          <w:lang w:eastAsia="es-CO"/>
        </w:rPr>
        <w:t>b) Reserva matemática;</w:t>
      </w:r>
    </w:p>
    <w:p w14:paraId="4A7E9F68" w14:textId="77777777" w:rsidR="00755C97" w:rsidRPr="005F2C03" w:rsidRDefault="00755C97" w:rsidP="00755C97">
      <w:pPr>
        <w:ind w:left="284" w:firstLine="283"/>
        <w:jc w:val="both"/>
        <w:rPr>
          <w:rFonts w:cs="Arial"/>
          <w:i/>
          <w:lang w:eastAsia="es-CO"/>
        </w:rPr>
      </w:pPr>
      <w:r w:rsidRPr="005F2C03">
        <w:rPr>
          <w:rFonts w:cs="Arial"/>
          <w:i/>
          <w:lang w:eastAsia="es-CO"/>
        </w:rPr>
        <w:t>c) Reserva para siniestros pendientes, y</w:t>
      </w:r>
    </w:p>
    <w:p w14:paraId="76B62B0D" w14:textId="77777777" w:rsidR="00755C97" w:rsidRPr="005F2C03" w:rsidRDefault="00755C97" w:rsidP="00755C97">
      <w:pPr>
        <w:ind w:left="284" w:firstLine="283"/>
        <w:jc w:val="both"/>
        <w:rPr>
          <w:rFonts w:cs="Arial"/>
          <w:i/>
          <w:lang w:eastAsia="es-CO"/>
        </w:rPr>
      </w:pPr>
      <w:r w:rsidRPr="005F2C03">
        <w:rPr>
          <w:rFonts w:cs="Arial"/>
          <w:i/>
          <w:lang w:eastAsia="es-CO"/>
        </w:rPr>
        <w:t>d) Reserva de desviación de siniestralidad.</w:t>
      </w:r>
    </w:p>
    <w:p w14:paraId="459E7C7F" w14:textId="77777777" w:rsidR="00755C97" w:rsidRPr="005F2C03" w:rsidRDefault="00755C97" w:rsidP="00755C97">
      <w:pPr>
        <w:ind w:left="284"/>
        <w:jc w:val="both"/>
        <w:rPr>
          <w:rFonts w:cs="Arial"/>
          <w:i/>
          <w:lang w:eastAsia="es-CO"/>
        </w:rPr>
      </w:pPr>
    </w:p>
    <w:p w14:paraId="6C1AE7D4" w14:textId="77777777" w:rsidR="00755C97" w:rsidRPr="005F2C03" w:rsidRDefault="00755C97" w:rsidP="00755C97">
      <w:pPr>
        <w:ind w:left="284"/>
        <w:jc w:val="both"/>
        <w:rPr>
          <w:rFonts w:cs="Arial"/>
          <w:i/>
          <w:lang w:eastAsia="es-CO"/>
        </w:rPr>
      </w:pPr>
      <w:r w:rsidRPr="005F2C03">
        <w:rPr>
          <w:rFonts w:cs="Arial"/>
          <w:i/>
          <w:lang w:eastAsia="es-CO"/>
        </w:rPr>
        <w:t>El Gobierno Nacional señalará las reservas técnicas adicionales a las señaladas que se requieran para la explotación de los ramos. Así mismo, dictará las normas que determinen los aspectos técnicos pertinentes, para garantizar que los diferentes tipos de seguros que se expidan dentro del Sistema de Seguridad Social cumplan con los principios que los rigen."</w:t>
      </w:r>
    </w:p>
    <w:p w14:paraId="5F3CAC18" w14:textId="77777777" w:rsidR="00755C97" w:rsidRPr="005F2C03" w:rsidRDefault="00755C97" w:rsidP="00755C97">
      <w:pPr>
        <w:spacing w:line="240" w:lineRule="atLeast"/>
        <w:jc w:val="both"/>
        <w:rPr>
          <w:rFonts w:eastAsia="Arial MT" w:cs="Arial"/>
          <w:lang w:eastAsia="es-ES_tradnl"/>
        </w:rPr>
      </w:pPr>
    </w:p>
    <w:p w14:paraId="35A30D21" w14:textId="77777777" w:rsidR="00755C97" w:rsidRPr="005F2C03" w:rsidRDefault="00755C97" w:rsidP="00755C97">
      <w:pPr>
        <w:spacing w:line="240" w:lineRule="atLeast"/>
        <w:jc w:val="both"/>
        <w:rPr>
          <w:rFonts w:eastAsia="Arial MT" w:cs="Arial"/>
        </w:rPr>
      </w:pPr>
      <w:r w:rsidRPr="005F2C03">
        <w:rPr>
          <w:rFonts w:eastAsia="Arial MT" w:cs="Arial"/>
        </w:rPr>
        <w:t>Así mismo, se pudo evidenciar que este indicador se encuentra en un rango de entre 74.00 y el 92.00 producto de la aplicación de las reservas técnicas que deben constituir por disposición legal y las cuales son aplicables contablemente como pasivo. Las reservas más (Reservas de primas no devengadas, reservas de siniestros).</w:t>
      </w:r>
    </w:p>
    <w:p w14:paraId="4B3B80DB" w14:textId="77777777" w:rsidR="00755C97" w:rsidRPr="005F2C03" w:rsidRDefault="00755C97" w:rsidP="00755C97">
      <w:pPr>
        <w:spacing w:line="240" w:lineRule="atLeast"/>
        <w:jc w:val="both"/>
        <w:rPr>
          <w:rFonts w:eastAsia="Batang" w:cs="Arial"/>
        </w:rPr>
      </w:pPr>
    </w:p>
    <w:p w14:paraId="44CB318B" w14:textId="77777777" w:rsidR="00755C97" w:rsidRPr="005F2C03" w:rsidRDefault="00755C97" w:rsidP="00755C97">
      <w:pPr>
        <w:jc w:val="both"/>
        <w:rPr>
          <w:rFonts w:eastAsia="Arial MT" w:cs="Arial"/>
        </w:rPr>
      </w:pPr>
      <w:r w:rsidRPr="005F2C03">
        <w:rPr>
          <w:rFonts w:eastAsia="Arial MT" w:cs="Arial"/>
        </w:rPr>
        <w:t>Debido a lo anterior, se realizó la evaluación de los indicadores de nivel de endeudamiento que muestra el mercado asegurador y de éste se puede deducir que los mismos arrojan un alto porcentaje.</w:t>
      </w:r>
    </w:p>
    <w:p w14:paraId="42386F1F" w14:textId="77777777" w:rsidR="00755C97" w:rsidRPr="005F2C03" w:rsidRDefault="00755C97" w:rsidP="00755C97">
      <w:pPr>
        <w:spacing w:line="240" w:lineRule="atLeast"/>
        <w:jc w:val="both"/>
        <w:rPr>
          <w:rFonts w:eastAsia="Arial MT" w:cs="Arial"/>
        </w:rPr>
      </w:pPr>
    </w:p>
    <w:p w14:paraId="0A0BD8FF" w14:textId="77777777" w:rsidR="00755C97" w:rsidRPr="005F2C03" w:rsidRDefault="00755C97" w:rsidP="00755C97">
      <w:pPr>
        <w:spacing w:line="240" w:lineRule="exact"/>
        <w:jc w:val="both"/>
        <w:rPr>
          <w:rFonts w:eastAsia="Batang" w:cs="Arial"/>
        </w:rPr>
      </w:pPr>
      <w:r w:rsidRPr="005F2C03">
        <w:rPr>
          <w:rFonts w:eastAsia="Batang" w:cs="Arial"/>
        </w:rPr>
        <w:t>El margen de las Compañías de Seguros, que habitualmente participan en procesos de contratación estatal son los siguientes:</w:t>
      </w:r>
    </w:p>
    <w:p w14:paraId="03907539" w14:textId="77777777" w:rsidR="00755C97" w:rsidRPr="005F2C03" w:rsidRDefault="00755C97" w:rsidP="00755C97">
      <w:pPr>
        <w:spacing w:line="240" w:lineRule="exact"/>
        <w:jc w:val="both"/>
        <w:rPr>
          <w:rFonts w:eastAsia="Batang" w:cs="Arial"/>
        </w:rPr>
      </w:pPr>
    </w:p>
    <w:tbl>
      <w:tblPr>
        <w:tblW w:w="3750" w:type="pct"/>
        <w:jc w:val="center"/>
        <w:tblCellMar>
          <w:left w:w="70" w:type="dxa"/>
          <w:right w:w="70" w:type="dxa"/>
        </w:tblCellMar>
        <w:tblLook w:val="04A0" w:firstRow="1" w:lastRow="0" w:firstColumn="1" w:lastColumn="0" w:noHBand="0" w:noVBand="1"/>
      </w:tblPr>
      <w:tblGrid>
        <w:gridCol w:w="5691"/>
        <w:gridCol w:w="930"/>
      </w:tblGrid>
      <w:tr w:rsidR="00755C97" w:rsidRPr="005F2C03" w14:paraId="576778C3" w14:textId="77777777" w:rsidTr="00755C97">
        <w:trPr>
          <w:trHeight w:val="27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F4761"/>
            <w:vAlign w:val="center"/>
            <w:hideMark/>
          </w:tcPr>
          <w:p w14:paraId="57EDC33A" w14:textId="77777777" w:rsidR="00755C97" w:rsidRPr="005F2C03" w:rsidRDefault="00755C97">
            <w:pPr>
              <w:spacing w:line="276" w:lineRule="auto"/>
              <w:jc w:val="center"/>
              <w:rPr>
                <w:rFonts w:eastAsia="Calibri" w:cs="Arial"/>
                <w:b/>
                <w:bCs/>
                <w:kern w:val="2"/>
                <w:lang w:eastAsia="es-ES"/>
                <w14:ligatures w14:val="standardContextual"/>
              </w:rPr>
            </w:pPr>
            <w:r w:rsidRPr="005F2C03">
              <w:rPr>
                <w:rFonts w:eastAsia="Calibri" w:cs="Arial"/>
                <w:b/>
                <w:bCs/>
                <w:kern w:val="2"/>
                <w14:ligatures w14:val="standardContextual"/>
              </w:rPr>
              <w:t>NIVEL DE ENDEUDAMIENTO</w:t>
            </w:r>
          </w:p>
        </w:tc>
      </w:tr>
      <w:tr w:rsidR="00755C97" w:rsidRPr="005F2C03" w14:paraId="5CA6BAFE"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83CAEB"/>
            <w:vAlign w:val="center"/>
            <w:hideMark/>
          </w:tcPr>
          <w:p w14:paraId="3790B1DF" w14:textId="77777777" w:rsidR="00755C97" w:rsidRPr="005F2C03" w:rsidRDefault="00755C97">
            <w:pPr>
              <w:spacing w:line="276" w:lineRule="auto"/>
              <w:jc w:val="both"/>
              <w:rPr>
                <w:rFonts w:eastAsia="Calibri" w:cs="Arial"/>
                <w:b/>
                <w:bCs/>
                <w:kern w:val="2"/>
                <w:lang w:eastAsia="es-ES_tradnl"/>
                <w14:ligatures w14:val="standardContextual"/>
              </w:rPr>
            </w:pPr>
            <w:r w:rsidRPr="005F2C03">
              <w:rPr>
                <w:rFonts w:eastAsia="Calibri" w:cs="Arial"/>
                <w:b/>
                <w:bCs/>
                <w:kern w:val="2"/>
                <w14:ligatures w14:val="standardContextual"/>
              </w:rPr>
              <w:t>ASEGURADORA / AÑO</w:t>
            </w:r>
          </w:p>
        </w:tc>
        <w:tc>
          <w:tcPr>
            <w:tcW w:w="702" w:type="pct"/>
            <w:tcBorders>
              <w:top w:val="nil"/>
              <w:left w:val="nil"/>
              <w:bottom w:val="single" w:sz="4" w:space="0" w:color="auto"/>
              <w:right w:val="single" w:sz="4" w:space="0" w:color="auto"/>
            </w:tcBorders>
            <w:shd w:val="clear" w:color="auto" w:fill="83CAEB"/>
            <w:vAlign w:val="center"/>
            <w:hideMark/>
          </w:tcPr>
          <w:p w14:paraId="45049A78" w14:textId="77777777" w:rsidR="00755C97" w:rsidRPr="005F2C03" w:rsidRDefault="00755C97">
            <w:pPr>
              <w:spacing w:line="276" w:lineRule="auto"/>
              <w:jc w:val="center"/>
              <w:rPr>
                <w:rFonts w:eastAsia="Calibri" w:cs="Arial"/>
                <w:b/>
                <w:bCs/>
                <w:kern w:val="2"/>
                <w14:ligatures w14:val="standardContextual"/>
              </w:rPr>
            </w:pPr>
            <w:r w:rsidRPr="005F2C03">
              <w:rPr>
                <w:rFonts w:eastAsia="Calibri" w:cs="Arial"/>
                <w:b/>
                <w:bCs/>
                <w:kern w:val="2"/>
                <w14:ligatures w14:val="standardContextual"/>
              </w:rPr>
              <w:t>2023</w:t>
            </w:r>
          </w:p>
        </w:tc>
      </w:tr>
      <w:tr w:rsidR="00755C97" w:rsidRPr="005F2C03" w14:paraId="623ED71B"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3609478"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 xml:space="preserve">ALLIANZ SEGUROS S.A. </w:t>
            </w:r>
          </w:p>
        </w:tc>
        <w:tc>
          <w:tcPr>
            <w:tcW w:w="702" w:type="pct"/>
            <w:tcBorders>
              <w:top w:val="nil"/>
              <w:left w:val="nil"/>
              <w:bottom w:val="single" w:sz="4" w:space="0" w:color="auto"/>
              <w:right w:val="single" w:sz="4" w:space="0" w:color="auto"/>
            </w:tcBorders>
            <w:shd w:val="clear" w:color="auto" w:fill="F2F2F2"/>
            <w:noWrap/>
            <w:vAlign w:val="center"/>
            <w:hideMark/>
          </w:tcPr>
          <w:p w14:paraId="2B2C6C2D"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85.68</w:t>
            </w:r>
          </w:p>
        </w:tc>
      </w:tr>
      <w:tr w:rsidR="00755C97" w:rsidRPr="005F2C03" w14:paraId="7B5D1871"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1FCF2211"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ASEGURADORA SOLIDARIA DE COLOMBIA E.C.</w:t>
            </w:r>
          </w:p>
        </w:tc>
        <w:tc>
          <w:tcPr>
            <w:tcW w:w="702" w:type="pct"/>
            <w:tcBorders>
              <w:top w:val="nil"/>
              <w:left w:val="nil"/>
              <w:bottom w:val="single" w:sz="4" w:space="0" w:color="auto"/>
              <w:right w:val="single" w:sz="4" w:space="0" w:color="auto"/>
            </w:tcBorders>
            <w:shd w:val="clear" w:color="auto" w:fill="F2F2F2"/>
            <w:noWrap/>
            <w:hideMark/>
          </w:tcPr>
          <w:p w14:paraId="685AB84C"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74.59</w:t>
            </w:r>
          </w:p>
        </w:tc>
      </w:tr>
      <w:tr w:rsidR="00755C97" w:rsidRPr="005F2C03" w14:paraId="0D7BC6B4"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3D7FA947"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AXA COLPATRIA SEGUROS S.A.</w:t>
            </w:r>
          </w:p>
        </w:tc>
        <w:tc>
          <w:tcPr>
            <w:tcW w:w="702" w:type="pct"/>
            <w:tcBorders>
              <w:top w:val="nil"/>
              <w:left w:val="nil"/>
              <w:bottom w:val="single" w:sz="4" w:space="0" w:color="auto"/>
              <w:right w:val="single" w:sz="4" w:space="0" w:color="auto"/>
            </w:tcBorders>
            <w:shd w:val="clear" w:color="auto" w:fill="F2F2F2"/>
            <w:noWrap/>
            <w:hideMark/>
          </w:tcPr>
          <w:p w14:paraId="658DD6F1"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87.87</w:t>
            </w:r>
          </w:p>
        </w:tc>
      </w:tr>
      <w:tr w:rsidR="00755C97" w:rsidRPr="005F2C03" w14:paraId="6A964564"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0829120"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CHUBB DE COLOMBIA S.A.</w:t>
            </w:r>
          </w:p>
        </w:tc>
        <w:tc>
          <w:tcPr>
            <w:tcW w:w="702" w:type="pct"/>
            <w:tcBorders>
              <w:top w:val="nil"/>
              <w:left w:val="nil"/>
              <w:bottom w:val="single" w:sz="4" w:space="0" w:color="auto"/>
              <w:right w:val="single" w:sz="4" w:space="0" w:color="auto"/>
            </w:tcBorders>
            <w:shd w:val="clear" w:color="auto" w:fill="F2F2F2"/>
            <w:noWrap/>
            <w:hideMark/>
          </w:tcPr>
          <w:p w14:paraId="0C065923"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85.59</w:t>
            </w:r>
          </w:p>
        </w:tc>
      </w:tr>
      <w:tr w:rsidR="00755C97" w:rsidRPr="005F2C03" w14:paraId="7CF662B0"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1F0F794"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COMPAÑÍA MUNDIAL DE SEGUROS S.A.</w:t>
            </w:r>
          </w:p>
        </w:tc>
        <w:tc>
          <w:tcPr>
            <w:tcW w:w="702" w:type="pct"/>
            <w:tcBorders>
              <w:top w:val="nil"/>
              <w:left w:val="nil"/>
              <w:bottom w:val="single" w:sz="4" w:space="0" w:color="auto"/>
              <w:right w:val="single" w:sz="4" w:space="0" w:color="auto"/>
            </w:tcBorders>
            <w:shd w:val="clear" w:color="auto" w:fill="F2F2F2"/>
            <w:noWrap/>
            <w:hideMark/>
          </w:tcPr>
          <w:p w14:paraId="3456B1F9"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92.09</w:t>
            </w:r>
          </w:p>
        </w:tc>
      </w:tr>
      <w:tr w:rsidR="00755C97" w:rsidRPr="005F2C03" w14:paraId="2CDDA832"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1334F3D9"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HDI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717B93B0"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82.66</w:t>
            </w:r>
          </w:p>
        </w:tc>
      </w:tr>
      <w:tr w:rsidR="00755C97" w:rsidRPr="005F2C03" w14:paraId="5731AF57"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E8A5750"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LA EQUIDAD SEGUROS GENERALES O.C.</w:t>
            </w:r>
          </w:p>
        </w:tc>
        <w:tc>
          <w:tcPr>
            <w:tcW w:w="702" w:type="pct"/>
            <w:tcBorders>
              <w:top w:val="nil"/>
              <w:left w:val="nil"/>
              <w:bottom w:val="single" w:sz="4" w:space="0" w:color="auto"/>
              <w:right w:val="single" w:sz="4" w:space="0" w:color="auto"/>
            </w:tcBorders>
            <w:shd w:val="clear" w:color="auto" w:fill="F2F2F2"/>
            <w:noWrap/>
            <w:vAlign w:val="center"/>
            <w:hideMark/>
          </w:tcPr>
          <w:p w14:paraId="2C44670A"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90.83</w:t>
            </w:r>
          </w:p>
        </w:tc>
      </w:tr>
      <w:tr w:rsidR="00755C97" w:rsidRPr="005F2C03" w14:paraId="654F40C8"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8208C1A"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LA PREVISORA S.A. COMPAÑÍA DE SEGUROS</w:t>
            </w:r>
          </w:p>
        </w:tc>
        <w:tc>
          <w:tcPr>
            <w:tcW w:w="702" w:type="pct"/>
            <w:tcBorders>
              <w:top w:val="nil"/>
              <w:left w:val="nil"/>
              <w:bottom w:val="single" w:sz="4" w:space="0" w:color="auto"/>
              <w:right w:val="single" w:sz="4" w:space="0" w:color="auto"/>
            </w:tcBorders>
            <w:shd w:val="clear" w:color="auto" w:fill="F2F2F2"/>
            <w:noWrap/>
            <w:vAlign w:val="center"/>
            <w:hideMark/>
          </w:tcPr>
          <w:p w14:paraId="03AB7FB7"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84.09</w:t>
            </w:r>
          </w:p>
        </w:tc>
      </w:tr>
      <w:tr w:rsidR="00755C97" w:rsidRPr="005F2C03" w14:paraId="0952DC82"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C75266D"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LIBERTY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25500169"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81.77</w:t>
            </w:r>
          </w:p>
        </w:tc>
      </w:tr>
      <w:tr w:rsidR="00755C97" w:rsidRPr="005F2C03" w14:paraId="0AE6DDB2"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AE22604"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MAPFRE SEGUROS GENERALES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60D94988"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86.14</w:t>
            </w:r>
          </w:p>
        </w:tc>
      </w:tr>
      <w:tr w:rsidR="00755C97" w:rsidRPr="005F2C03" w14:paraId="4AF45484"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55D3AFBC"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POSITIVA COMPAÑÍA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3509905F"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84.47</w:t>
            </w:r>
          </w:p>
        </w:tc>
      </w:tr>
      <w:tr w:rsidR="00755C97" w:rsidRPr="005F2C03" w14:paraId="4024FB1A"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1A5B3B26"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SBS SEGUROS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38F8E990"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83.99</w:t>
            </w:r>
          </w:p>
        </w:tc>
      </w:tr>
      <w:tr w:rsidR="00755C97" w:rsidRPr="005F2C03" w14:paraId="08518247"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5C1DA5A"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DEL ESTADO S.A.</w:t>
            </w:r>
          </w:p>
        </w:tc>
        <w:tc>
          <w:tcPr>
            <w:tcW w:w="702" w:type="pct"/>
            <w:tcBorders>
              <w:top w:val="nil"/>
              <w:left w:val="nil"/>
              <w:bottom w:val="single" w:sz="4" w:space="0" w:color="auto"/>
              <w:right w:val="single" w:sz="4" w:space="0" w:color="auto"/>
            </w:tcBorders>
            <w:shd w:val="clear" w:color="auto" w:fill="F2F2F2"/>
            <w:noWrap/>
            <w:vAlign w:val="center"/>
            <w:hideMark/>
          </w:tcPr>
          <w:p w14:paraId="58E29A97"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84.46</w:t>
            </w:r>
          </w:p>
        </w:tc>
      </w:tr>
      <w:tr w:rsidR="00755C97" w:rsidRPr="005F2C03" w14:paraId="413FA579"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39FF9517"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GENERALES SURAMERICANA S.A.</w:t>
            </w:r>
          </w:p>
        </w:tc>
        <w:tc>
          <w:tcPr>
            <w:tcW w:w="702" w:type="pct"/>
            <w:tcBorders>
              <w:top w:val="nil"/>
              <w:left w:val="nil"/>
              <w:bottom w:val="single" w:sz="4" w:space="0" w:color="auto"/>
              <w:right w:val="single" w:sz="4" w:space="0" w:color="auto"/>
            </w:tcBorders>
            <w:shd w:val="clear" w:color="auto" w:fill="F2F2F2"/>
            <w:noWrap/>
            <w:vAlign w:val="center"/>
            <w:hideMark/>
          </w:tcPr>
          <w:p w14:paraId="1D076F25"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rPr>
              <w:t>82.59</w:t>
            </w:r>
          </w:p>
        </w:tc>
      </w:tr>
      <w:tr w:rsidR="00755C97" w:rsidRPr="005F2C03" w14:paraId="6BE9721C"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1BBF44A"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ZURICH COLOMBIA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629792D9"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83.15</w:t>
            </w:r>
          </w:p>
        </w:tc>
      </w:tr>
    </w:tbl>
    <w:p w14:paraId="75CB8FDC" w14:textId="77777777" w:rsidR="00755C97" w:rsidRPr="005F2C03" w:rsidRDefault="00755C97" w:rsidP="00755C97">
      <w:pPr>
        <w:jc w:val="center"/>
        <w:rPr>
          <w:rFonts w:eastAsia="Times New Roman" w:cs="Arial"/>
          <w:sz w:val="18"/>
          <w:szCs w:val="18"/>
          <w:lang w:eastAsia="es-ES_tradnl"/>
        </w:rPr>
      </w:pPr>
      <w:r w:rsidRPr="005F2C03">
        <w:rPr>
          <w:rFonts w:cs="Arial"/>
          <w:sz w:val="18"/>
          <w:szCs w:val="18"/>
        </w:rPr>
        <w:t>Fuente: Información tomada del RUP de cada aseguradora que participa en los procesos de contratación estatal con firmeza 2023</w:t>
      </w:r>
    </w:p>
    <w:p w14:paraId="1D5AD626" w14:textId="77777777" w:rsidR="00755C97" w:rsidRPr="005F2C03" w:rsidRDefault="00755C97" w:rsidP="00755C97">
      <w:pPr>
        <w:jc w:val="center"/>
        <w:rPr>
          <w:rFonts w:cs="Arial"/>
        </w:rPr>
      </w:pPr>
    </w:p>
    <w:p w14:paraId="40D62095" w14:textId="77777777" w:rsidR="00755C97" w:rsidRPr="005F2C03" w:rsidRDefault="00755C97" w:rsidP="00755C97">
      <w:pPr>
        <w:spacing w:line="240" w:lineRule="atLeast"/>
        <w:jc w:val="both"/>
        <w:rPr>
          <w:rFonts w:eastAsia="Batang" w:cs="Arial"/>
        </w:rPr>
      </w:pPr>
      <w:r w:rsidRPr="005F2C03">
        <w:rPr>
          <w:rFonts w:eastAsia="Batang" w:cs="Arial"/>
        </w:rPr>
        <w:t>Teniendo en cuenta que el propósito de este proceso de selección es permitir la participación plural de oferentes y conociendo el régimen de reservas técnicas que por el Estatuto Orgánico del Sistema Financiero deben cumplir las compañías de seguros, este indicador se evaluará con la información que se encuentra registrada en el RUP de cada una de las aseguradoras que comúnmente participan en procesos de selección de entidades estatales.</w:t>
      </w:r>
    </w:p>
    <w:p w14:paraId="71ACD77B" w14:textId="77777777" w:rsidR="00755C97" w:rsidRPr="005F2C03" w:rsidRDefault="00755C97" w:rsidP="00755C97">
      <w:pPr>
        <w:spacing w:line="240" w:lineRule="atLeast"/>
        <w:jc w:val="both"/>
        <w:rPr>
          <w:rFonts w:eastAsia="Batang" w:cs="Arial"/>
        </w:rPr>
      </w:pPr>
    </w:p>
    <w:p w14:paraId="0ED38458" w14:textId="77777777" w:rsidR="00755C97" w:rsidRPr="005F2C03" w:rsidRDefault="00755C97" w:rsidP="00755C97">
      <w:pPr>
        <w:pStyle w:val="Prrafodelista"/>
        <w:autoSpaceDN w:val="0"/>
        <w:ind w:left="0"/>
        <w:jc w:val="both"/>
        <w:rPr>
          <w:rFonts w:eastAsia="Batang" w:cs="Arial"/>
        </w:rPr>
      </w:pPr>
      <w:r w:rsidRPr="005F2C03">
        <w:rPr>
          <w:rFonts w:eastAsia="Batang" w:cs="Arial"/>
        </w:rPr>
        <w:t>En ese orden de ideas, para establecer objetivamente el indicador, se acoge el valor máximo y no se establecen indicadores por promedio o mediana, toda vez que su aplicación conlleva a descalificar posibles participantes.</w:t>
      </w:r>
    </w:p>
    <w:p w14:paraId="6388E4C8" w14:textId="77777777" w:rsidR="00755C97" w:rsidRPr="005F2C03" w:rsidRDefault="00755C97" w:rsidP="00755C97">
      <w:pPr>
        <w:jc w:val="both"/>
        <w:rPr>
          <w:rFonts w:eastAsia="Batang" w:cs="Arial"/>
        </w:rPr>
      </w:pPr>
    </w:p>
    <w:p w14:paraId="15BDAB12" w14:textId="77777777" w:rsidR="00755C97" w:rsidRPr="005F2C03" w:rsidRDefault="00755C97" w:rsidP="00755C97">
      <w:pPr>
        <w:jc w:val="both"/>
        <w:rPr>
          <w:rFonts w:eastAsia="Batang" w:cs="Arial"/>
        </w:rPr>
      </w:pPr>
      <w:r w:rsidRPr="005F2C03">
        <w:rPr>
          <w:rFonts w:eastAsia="Batang" w:cs="Arial"/>
        </w:rPr>
        <w:t xml:space="preserve">Finalmente dado que el interés de la Entidad en que haya pluralidad de oferentes se determina un </w:t>
      </w:r>
      <w:r w:rsidRPr="005F2C03">
        <w:rPr>
          <w:rFonts w:eastAsia="Batang" w:cs="Arial"/>
          <w:b/>
          <w:bCs/>
          <w:u w:val="single"/>
        </w:rPr>
        <w:t>índice de endeudamiento menor o igual al 93.00%</w:t>
      </w:r>
    </w:p>
    <w:p w14:paraId="28587FEC" w14:textId="77777777" w:rsidR="00755C97" w:rsidRPr="005F2C03" w:rsidRDefault="00755C97" w:rsidP="00755C97">
      <w:pPr>
        <w:spacing w:line="240" w:lineRule="atLeast"/>
        <w:jc w:val="both"/>
        <w:rPr>
          <w:rFonts w:eastAsia="Batang" w:cs="Arial"/>
          <w:u w:val="single"/>
        </w:rPr>
      </w:pPr>
    </w:p>
    <w:p w14:paraId="663044EB" w14:textId="77777777" w:rsidR="00755C97" w:rsidRPr="005F2C03" w:rsidRDefault="00755C97" w:rsidP="00755C97">
      <w:pPr>
        <w:spacing w:line="240" w:lineRule="atLeast"/>
        <w:jc w:val="both"/>
        <w:rPr>
          <w:rFonts w:eastAsia="Batang" w:cs="Arial"/>
        </w:rPr>
      </w:pPr>
      <w:r w:rsidRPr="005F2C03">
        <w:rPr>
          <w:rFonts w:eastAsia="Batang" w:cs="Arial"/>
        </w:rPr>
        <w:t xml:space="preserve">Igualmente, la Entidad considera importante acotar que este indicador es elevado precisamente porque al valor de la utilidad operacional que se reporta en RUP, se incluyen el valor de las reservas técnicas teniendo en </w:t>
      </w:r>
      <w:r w:rsidRPr="005F2C03">
        <w:rPr>
          <w:rFonts w:eastAsia="Batang" w:cs="Arial"/>
        </w:rPr>
        <w:lastRenderedPageBreak/>
        <w:t xml:space="preserve">cuenta que las aseguradoras, se encuentran bajo el control y vigilancia de la Superintendencia Financiera y en cumplimiento de la regulación establecida, deben constituir y cumplir con el régimen de reservas técnicas mínimas para poder operar en Colombia. </w:t>
      </w:r>
    </w:p>
    <w:p w14:paraId="64D0D073" w14:textId="77777777" w:rsidR="00755C97" w:rsidRPr="005F2C03" w:rsidRDefault="00755C97" w:rsidP="00755C97">
      <w:pPr>
        <w:spacing w:line="240" w:lineRule="atLeast"/>
        <w:jc w:val="both"/>
        <w:rPr>
          <w:rFonts w:eastAsia="Batang" w:cs="Arial"/>
        </w:rPr>
      </w:pPr>
    </w:p>
    <w:p w14:paraId="39D9A6E4" w14:textId="77777777" w:rsidR="00755C97" w:rsidRPr="005F2C03" w:rsidRDefault="00755C97" w:rsidP="00755C97">
      <w:pPr>
        <w:spacing w:line="240" w:lineRule="atLeast"/>
        <w:jc w:val="both"/>
        <w:rPr>
          <w:rFonts w:eastAsia="Batang" w:cs="Arial"/>
        </w:rPr>
      </w:pPr>
      <w:r w:rsidRPr="005F2C03">
        <w:rPr>
          <w:rFonts w:eastAsia="Batang" w:cs="Arial"/>
        </w:rPr>
        <w:t>Se destaca sobre este particular, que tal como lo refiere FASECOLDA en su artículo de “</w:t>
      </w:r>
      <w:r w:rsidRPr="005F2C03">
        <w:rPr>
          <w:rFonts w:eastAsia="Batang" w:cs="Arial"/>
          <w:i/>
          <w:iCs/>
        </w:rPr>
        <w:t>El régimen de reservas técnicas en Colombia”</w:t>
      </w:r>
      <w:r w:rsidRPr="005F2C03">
        <w:rPr>
          <w:rFonts w:eastAsia="Batang" w:cs="Arial"/>
        </w:rPr>
        <w:t xml:space="preserve">, las reservas técnicas son los recursos que destina una compañía de seguros para respaldar las obligaciones que ha contraído con sus asegurados y este régimen de reservas técnicas es un conjunto de normas prudenciales establecidas como regulación establecida con el propósito de fijar directrices a seguir por las aseguradoras, para estimar adecuadamente dichas obligaciones. </w:t>
      </w:r>
    </w:p>
    <w:p w14:paraId="6DE44DDF" w14:textId="77777777" w:rsidR="00755C97" w:rsidRPr="005F2C03" w:rsidRDefault="00755C97" w:rsidP="00755C97">
      <w:pPr>
        <w:spacing w:line="240" w:lineRule="atLeast"/>
        <w:jc w:val="both"/>
        <w:rPr>
          <w:rFonts w:eastAsia="Batang" w:cs="Arial"/>
        </w:rPr>
      </w:pPr>
    </w:p>
    <w:p w14:paraId="6A8C4411" w14:textId="77777777" w:rsidR="00755C97" w:rsidRPr="005F2C03" w:rsidRDefault="00755C97" w:rsidP="00755C97">
      <w:pPr>
        <w:spacing w:line="240" w:lineRule="atLeast"/>
        <w:jc w:val="both"/>
        <w:rPr>
          <w:rFonts w:eastAsia="Batang" w:cs="Arial"/>
        </w:rPr>
      </w:pPr>
      <w:r w:rsidRPr="005F2C03">
        <w:rPr>
          <w:rFonts w:eastAsia="Batang" w:cs="Arial"/>
        </w:rPr>
        <w:t xml:space="preserve">Las compañías de seguros deben identificar y cuantificar cuales son las obligaciones derivadas de los contratos de seguros que suscriben y deben asignar las partidas necesarias para garantizar el pago o reconocimiento futuro de esas obligaciones. Desde el punto de vista contable, las reservas técnicas representan el compromiso que mantiene la aseguradora hacia su masa de asegurados. </w:t>
      </w:r>
    </w:p>
    <w:p w14:paraId="221C3B49" w14:textId="77777777" w:rsidR="00755C97" w:rsidRPr="005F2C03" w:rsidRDefault="00755C97" w:rsidP="00755C97">
      <w:pPr>
        <w:spacing w:line="240" w:lineRule="atLeast"/>
        <w:jc w:val="both"/>
        <w:rPr>
          <w:rFonts w:eastAsia="Batang" w:cs="Arial"/>
        </w:rPr>
      </w:pPr>
    </w:p>
    <w:p w14:paraId="301B23B5" w14:textId="77777777" w:rsidR="00755C97" w:rsidRPr="005F2C03" w:rsidRDefault="00755C97" w:rsidP="00755C97">
      <w:pPr>
        <w:jc w:val="both"/>
        <w:rPr>
          <w:rFonts w:eastAsia="Batang" w:cs="Arial"/>
        </w:rPr>
      </w:pPr>
      <w:r w:rsidRPr="005F2C03">
        <w:rPr>
          <w:rFonts w:eastAsia="Batang" w:cs="Arial"/>
        </w:rPr>
        <w:t xml:space="preserve">A continuación, se presenta un breve resumen de los principales tipos de reservas: </w:t>
      </w:r>
    </w:p>
    <w:p w14:paraId="1C359579" w14:textId="77777777" w:rsidR="00755C97" w:rsidRPr="005F2C03" w:rsidRDefault="00755C97" w:rsidP="00755C97">
      <w:pPr>
        <w:jc w:val="both"/>
        <w:rPr>
          <w:rFonts w:eastAsia="Batang" w:cs="Arial"/>
        </w:rPr>
      </w:pPr>
    </w:p>
    <w:p w14:paraId="4EB3F7B5" w14:textId="77777777" w:rsidR="00755C97" w:rsidRPr="005F2C03" w:rsidRDefault="00755C97">
      <w:pPr>
        <w:pStyle w:val="Prrafodelista"/>
        <w:numPr>
          <w:ilvl w:val="0"/>
          <w:numId w:val="15"/>
        </w:numPr>
        <w:suppressAutoHyphens/>
        <w:spacing w:line="240" w:lineRule="atLeast"/>
        <w:jc w:val="both"/>
        <w:rPr>
          <w:rFonts w:eastAsia="Batang" w:cs="Arial"/>
          <w:b/>
          <w:bCs/>
        </w:rPr>
      </w:pPr>
      <w:r w:rsidRPr="005F2C03">
        <w:rPr>
          <w:rFonts w:eastAsia="Batang" w:cs="Arial"/>
          <w:b/>
          <w:bCs/>
        </w:rPr>
        <w:t>Reservas de primas:</w:t>
      </w:r>
    </w:p>
    <w:p w14:paraId="6932AFCC" w14:textId="77777777" w:rsidR="00755C97" w:rsidRPr="005F2C03" w:rsidRDefault="00755C97" w:rsidP="00755C97">
      <w:pPr>
        <w:suppressAutoHyphens/>
        <w:spacing w:line="240" w:lineRule="atLeast"/>
        <w:ind w:left="720"/>
        <w:jc w:val="both"/>
        <w:rPr>
          <w:rFonts w:eastAsia="Batang" w:cs="Arial"/>
          <w:b/>
          <w:bCs/>
        </w:rPr>
      </w:pPr>
    </w:p>
    <w:p w14:paraId="588F052B" w14:textId="77777777" w:rsidR="00755C97" w:rsidRPr="005F2C03" w:rsidRDefault="00755C97" w:rsidP="00755C97">
      <w:pPr>
        <w:spacing w:line="240" w:lineRule="atLeast"/>
        <w:jc w:val="both"/>
        <w:rPr>
          <w:rFonts w:eastAsia="Batang" w:cs="Arial"/>
        </w:rPr>
      </w:pPr>
      <w:r w:rsidRPr="005F2C03">
        <w:rPr>
          <w:rFonts w:eastAsia="Batang" w:cs="Arial"/>
        </w:rPr>
        <w:t>Corresponden a la porción de la prima que, a la fecha de cálculo, no ha sido ganada por el asegurador. Dentro de este grupo de reservas, la más difundida es la Reserva de Prima no Devengada</w:t>
      </w:r>
    </w:p>
    <w:p w14:paraId="01C61738" w14:textId="77777777" w:rsidR="00755C97" w:rsidRPr="005F2C03" w:rsidRDefault="00755C97" w:rsidP="00755C97">
      <w:pPr>
        <w:spacing w:line="240" w:lineRule="atLeast"/>
        <w:jc w:val="both"/>
        <w:rPr>
          <w:rFonts w:eastAsia="Batang" w:cs="Arial"/>
        </w:rPr>
      </w:pPr>
    </w:p>
    <w:p w14:paraId="27757598" w14:textId="77777777" w:rsidR="00755C97" w:rsidRPr="005F2C03" w:rsidRDefault="00755C97" w:rsidP="00755C97">
      <w:pPr>
        <w:spacing w:line="240" w:lineRule="atLeast"/>
        <w:jc w:val="both"/>
        <w:rPr>
          <w:rFonts w:eastAsia="Batang" w:cs="Arial"/>
        </w:rPr>
      </w:pPr>
      <w:r w:rsidRPr="005F2C03">
        <w:rPr>
          <w:rFonts w:eastAsia="Batang" w:cs="Arial"/>
        </w:rPr>
        <w:t xml:space="preserve">Esta reserva tiene como finalidad distribuir el ingreso de la compañía en función del periodo de tiempo en que estará́ expuesta al riesgo asegurado. </w:t>
      </w:r>
    </w:p>
    <w:p w14:paraId="602D0F2D" w14:textId="77777777" w:rsidR="00755C97" w:rsidRPr="005F2C03" w:rsidRDefault="00755C97" w:rsidP="00755C97">
      <w:pPr>
        <w:spacing w:line="240" w:lineRule="atLeast"/>
        <w:jc w:val="both"/>
        <w:rPr>
          <w:rFonts w:eastAsia="Batang" w:cs="Arial"/>
        </w:rPr>
      </w:pPr>
    </w:p>
    <w:p w14:paraId="3BAC22B7" w14:textId="77777777" w:rsidR="00755C97" w:rsidRPr="005F2C03" w:rsidRDefault="00755C97" w:rsidP="00755C97">
      <w:pPr>
        <w:spacing w:line="240" w:lineRule="atLeast"/>
        <w:jc w:val="both"/>
        <w:rPr>
          <w:rFonts w:eastAsia="Batang" w:cs="Arial"/>
        </w:rPr>
      </w:pPr>
      <w:r w:rsidRPr="005F2C03">
        <w:rPr>
          <w:rFonts w:eastAsia="Batang" w:cs="Arial"/>
        </w:rPr>
        <w:t>De esta manera se ajusta el resultado de la aseguradora al asignar la utilidad al periodo en el que se ganó́ la prima, independientemente de cuando fue emitida. La prima ganada se determina tomando la cuant</w:t>
      </w:r>
      <w:r w:rsidRPr="005F2C03">
        <w:rPr>
          <w:rFonts w:eastAsia="Batang" w:cs="Arial Narrow"/>
        </w:rPr>
        <w:t>í</w:t>
      </w:r>
      <w:r w:rsidRPr="005F2C03">
        <w:rPr>
          <w:rFonts w:eastAsia="Batang" w:cs="Arial"/>
        </w:rPr>
        <w:t>a de la prima emitida descont</w:t>
      </w:r>
      <w:r w:rsidRPr="005F2C03">
        <w:rPr>
          <w:rFonts w:eastAsia="Batang" w:cs="Arial Narrow"/>
        </w:rPr>
        <w:t>á</w:t>
      </w:r>
      <w:r w:rsidRPr="005F2C03">
        <w:rPr>
          <w:rFonts w:eastAsia="Batang" w:cs="Arial"/>
        </w:rPr>
        <w:t xml:space="preserve">ndole los saldos de la Reserva de Prima No Devengada de comienzo y fin de ejercicio. </w:t>
      </w:r>
    </w:p>
    <w:p w14:paraId="55BC9980" w14:textId="77777777" w:rsidR="00755C97" w:rsidRPr="005F2C03" w:rsidRDefault="00755C97" w:rsidP="00755C97">
      <w:pPr>
        <w:spacing w:line="240" w:lineRule="atLeast"/>
        <w:jc w:val="both"/>
        <w:rPr>
          <w:rFonts w:eastAsia="Batang" w:cs="Arial"/>
        </w:rPr>
      </w:pPr>
    </w:p>
    <w:p w14:paraId="3F59A73B" w14:textId="77777777" w:rsidR="00755C97" w:rsidRPr="005F2C03" w:rsidRDefault="00755C97" w:rsidP="00755C97">
      <w:pPr>
        <w:spacing w:line="240" w:lineRule="atLeast"/>
        <w:jc w:val="both"/>
        <w:rPr>
          <w:rFonts w:eastAsia="Batang" w:cs="Arial"/>
        </w:rPr>
      </w:pPr>
      <w:r w:rsidRPr="005F2C03">
        <w:rPr>
          <w:rFonts w:eastAsia="Batang" w:cs="Arial"/>
        </w:rPr>
        <w:t xml:space="preserve">Desde el punto de vista del cálculo, existen distintas metodologías para realizarlo, pero siempre buscan estimar la proporción de prima aun no ganada por el hecho de que el riesgo cubierto sigue corriendo. </w:t>
      </w:r>
    </w:p>
    <w:p w14:paraId="6D715334" w14:textId="77777777" w:rsidR="00755C97" w:rsidRPr="005F2C03" w:rsidRDefault="00755C97" w:rsidP="00755C97">
      <w:pPr>
        <w:spacing w:line="240" w:lineRule="atLeast"/>
        <w:jc w:val="both"/>
        <w:rPr>
          <w:rFonts w:eastAsia="Batang" w:cs="Arial"/>
        </w:rPr>
      </w:pPr>
    </w:p>
    <w:p w14:paraId="2F91EAC0" w14:textId="77777777" w:rsidR="00755C97" w:rsidRPr="005F2C03" w:rsidRDefault="00755C97" w:rsidP="00755C97">
      <w:pPr>
        <w:spacing w:line="240" w:lineRule="atLeast"/>
        <w:jc w:val="both"/>
        <w:rPr>
          <w:rFonts w:eastAsia="Batang" w:cs="Arial"/>
        </w:rPr>
      </w:pPr>
      <w:r w:rsidRPr="005F2C03">
        <w:rPr>
          <w:rFonts w:eastAsia="Batang" w:cs="Arial"/>
        </w:rPr>
        <w:t xml:space="preserve">Conceptualmente se trata de un “compromiso técnico” y no de un pasivo con una contraparte definida, por lo que no es relevante en este caso si el asegurado tiene derecho a cancelar el contrato y reclamar la prima correspondiente. </w:t>
      </w:r>
    </w:p>
    <w:p w14:paraId="0BE7A125" w14:textId="77777777" w:rsidR="00755C97" w:rsidRPr="005F2C03" w:rsidRDefault="00755C97" w:rsidP="00755C97">
      <w:pPr>
        <w:spacing w:line="240" w:lineRule="atLeast"/>
        <w:jc w:val="both"/>
        <w:rPr>
          <w:rFonts w:eastAsia="Batang" w:cs="Arial"/>
        </w:rPr>
      </w:pPr>
    </w:p>
    <w:p w14:paraId="501DB04D" w14:textId="77777777" w:rsidR="00755C97" w:rsidRPr="005F2C03" w:rsidRDefault="00755C97" w:rsidP="00755C97">
      <w:pPr>
        <w:spacing w:line="240" w:lineRule="atLeast"/>
        <w:jc w:val="both"/>
        <w:rPr>
          <w:rFonts w:eastAsia="Batang" w:cs="Arial"/>
        </w:rPr>
      </w:pPr>
      <w:r w:rsidRPr="005F2C03">
        <w:rPr>
          <w:rFonts w:eastAsia="Batang" w:cs="Arial"/>
        </w:rPr>
        <w:t xml:space="preserve">En muchos productos es válido asumir que el riesgo, y, consecuentemente, la prima, se distribuyen uniformemente a lo largo del periodo de cobertura. </w:t>
      </w:r>
    </w:p>
    <w:p w14:paraId="1E016C17" w14:textId="77777777" w:rsidR="00755C97" w:rsidRPr="005F2C03" w:rsidRDefault="00755C97" w:rsidP="00755C97">
      <w:pPr>
        <w:spacing w:line="240" w:lineRule="atLeast"/>
        <w:jc w:val="both"/>
        <w:rPr>
          <w:rFonts w:eastAsia="Batang" w:cs="Arial"/>
        </w:rPr>
      </w:pPr>
    </w:p>
    <w:p w14:paraId="379C7A55" w14:textId="77777777" w:rsidR="00755C97" w:rsidRPr="005F2C03" w:rsidRDefault="00755C97">
      <w:pPr>
        <w:pStyle w:val="Prrafodelista"/>
        <w:numPr>
          <w:ilvl w:val="0"/>
          <w:numId w:val="15"/>
        </w:numPr>
        <w:suppressAutoHyphens/>
        <w:spacing w:line="240" w:lineRule="atLeast"/>
        <w:jc w:val="both"/>
        <w:rPr>
          <w:rFonts w:eastAsia="Batang" w:cs="Arial"/>
          <w:b/>
          <w:bCs/>
        </w:rPr>
      </w:pPr>
      <w:r w:rsidRPr="005F2C03">
        <w:rPr>
          <w:rFonts w:eastAsia="Batang" w:cs="Arial"/>
          <w:b/>
          <w:bCs/>
        </w:rPr>
        <w:t>Reservas de siniestros:</w:t>
      </w:r>
    </w:p>
    <w:p w14:paraId="090DEFC4" w14:textId="77777777" w:rsidR="00755C97" w:rsidRPr="005F2C03" w:rsidRDefault="00755C97" w:rsidP="00755C97">
      <w:pPr>
        <w:spacing w:line="240" w:lineRule="atLeast"/>
        <w:jc w:val="both"/>
        <w:rPr>
          <w:rFonts w:eastAsia="Batang" w:cs="Arial"/>
        </w:rPr>
      </w:pPr>
    </w:p>
    <w:p w14:paraId="76B3E05B" w14:textId="77777777" w:rsidR="00755C97" w:rsidRPr="005F2C03" w:rsidRDefault="00755C97" w:rsidP="00755C97">
      <w:pPr>
        <w:spacing w:line="240" w:lineRule="atLeast"/>
        <w:jc w:val="both"/>
        <w:rPr>
          <w:rFonts w:eastAsia="Batang" w:cs="Arial"/>
        </w:rPr>
      </w:pPr>
      <w:r w:rsidRPr="005F2C03">
        <w:rPr>
          <w:rFonts w:eastAsia="Batang" w:cs="Arial"/>
        </w:rPr>
        <w:lastRenderedPageBreak/>
        <w:t xml:space="preserve">Las reservas de siniestros son un pasivo constituido para reflejar el costo estimado de siniestros que han ocurrido y no han sido pagados. Bajo este concepto se incluyen las Reservas de Siniestros Avisados y las Reservas de Siniestros no Avisados. </w:t>
      </w:r>
    </w:p>
    <w:p w14:paraId="6DB2FF10" w14:textId="77777777" w:rsidR="00755C97" w:rsidRPr="005F2C03" w:rsidRDefault="00755C97" w:rsidP="00755C97">
      <w:pPr>
        <w:spacing w:line="240" w:lineRule="atLeast"/>
        <w:jc w:val="both"/>
        <w:rPr>
          <w:rFonts w:eastAsia="Batang" w:cs="Arial"/>
        </w:rPr>
      </w:pPr>
    </w:p>
    <w:p w14:paraId="06EFFA55" w14:textId="77777777" w:rsidR="00755C97" w:rsidRPr="005F2C03" w:rsidRDefault="00755C97" w:rsidP="00755C97">
      <w:pPr>
        <w:spacing w:line="240" w:lineRule="atLeast"/>
        <w:jc w:val="both"/>
        <w:rPr>
          <w:rFonts w:eastAsia="Batang" w:cs="Arial"/>
        </w:rPr>
      </w:pPr>
      <w:r w:rsidRPr="005F2C03">
        <w:rPr>
          <w:rFonts w:eastAsia="Batang" w:cs="Arial"/>
        </w:rPr>
        <w:t xml:space="preserve">Desde el momento en que se conoce un siniestro y hasta que se efectúa su pago, la aseguradora va obteniendo información adicional que le permite mejorar su conocimiento y evaluación de la perdida. Este hecho, sumado a que la exigibilidad de la indemnización se perfecciona contra entrega de cierta documentación por parte del asegurado, ha determinado que, en algunos países, las reservas de siniestros pendientes se clasifiquen en siniestros avisados con información insuficiente, siniestros avisados en proceso de liquidación y siniestros liquidados pendientes de pago. En los tres casos es posible establecer una asignación directa entre el siniestro y la póliza a la que corresponde. </w:t>
      </w:r>
    </w:p>
    <w:p w14:paraId="3F63498C" w14:textId="77777777" w:rsidR="00755C97" w:rsidRPr="005F2C03" w:rsidRDefault="00755C97" w:rsidP="00755C97">
      <w:pPr>
        <w:spacing w:line="240" w:lineRule="atLeast"/>
        <w:jc w:val="both"/>
        <w:rPr>
          <w:rFonts w:eastAsia="Batang" w:cs="Arial"/>
        </w:rPr>
      </w:pPr>
    </w:p>
    <w:p w14:paraId="5F096250" w14:textId="77777777" w:rsidR="00755C97" w:rsidRPr="005F2C03" w:rsidRDefault="00755C97" w:rsidP="00755C97">
      <w:pPr>
        <w:spacing w:line="240" w:lineRule="atLeast"/>
        <w:jc w:val="both"/>
        <w:rPr>
          <w:rFonts w:eastAsia="Batang" w:cs="Arial"/>
        </w:rPr>
      </w:pPr>
      <w:r w:rsidRPr="005F2C03">
        <w:rPr>
          <w:rFonts w:eastAsia="Batang" w:cs="Arial"/>
        </w:rPr>
        <w:t xml:space="preserve">Cuanto mayor sea el grado de información disponible (cantidad y más se aproximará la reserva al monto a pagar. </w:t>
      </w:r>
    </w:p>
    <w:p w14:paraId="060D8AD5" w14:textId="77777777" w:rsidR="00755C97" w:rsidRPr="005F2C03" w:rsidRDefault="00755C97" w:rsidP="00755C97">
      <w:pPr>
        <w:spacing w:line="240" w:lineRule="atLeast"/>
        <w:jc w:val="both"/>
        <w:rPr>
          <w:rFonts w:eastAsia="Batang" w:cs="Arial"/>
        </w:rPr>
      </w:pPr>
    </w:p>
    <w:p w14:paraId="5093B2D8" w14:textId="77777777" w:rsidR="00755C97" w:rsidRPr="005F2C03" w:rsidRDefault="00755C97" w:rsidP="00755C97">
      <w:pPr>
        <w:spacing w:line="240" w:lineRule="atLeast"/>
        <w:jc w:val="both"/>
        <w:rPr>
          <w:rFonts w:eastAsia="Batang" w:cs="Arial"/>
        </w:rPr>
      </w:pPr>
      <w:r w:rsidRPr="005F2C03">
        <w:rPr>
          <w:rFonts w:eastAsia="Batang" w:cs="Arial"/>
        </w:rPr>
        <w:t>Las Reservas de Siniestros Ocurridos no Avisados (</w:t>
      </w:r>
      <w:proofErr w:type="spellStart"/>
      <w:r w:rsidRPr="005F2C03">
        <w:rPr>
          <w:rFonts w:eastAsia="Batang" w:cs="Arial"/>
        </w:rPr>
        <w:t>Incurred</w:t>
      </w:r>
      <w:proofErr w:type="spellEnd"/>
      <w:r w:rsidRPr="005F2C03">
        <w:rPr>
          <w:rFonts w:eastAsia="Batang" w:cs="Arial"/>
        </w:rPr>
        <w:t xml:space="preserve"> </w:t>
      </w:r>
      <w:proofErr w:type="spellStart"/>
      <w:r w:rsidRPr="005F2C03">
        <w:rPr>
          <w:rFonts w:eastAsia="Batang" w:cs="Arial"/>
        </w:rPr>
        <w:t>But</w:t>
      </w:r>
      <w:proofErr w:type="spellEnd"/>
      <w:r w:rsidRPr="005F2C03">
        <w:rPr>
          <w:rFonts w:eastAsia="Batang" w:cs="Arial"/>
        </w:rPr>
        <w:t xml:space="preserve"> </w:t>
      </w:r>
      <w:proofErr w:type="spellStart"/>
      <w:r w:rsidRPr="005F2C03">
        <w:rPr>
          <w:rFonts w:eastAsia="Batang" w:cs="Arial"/>
        </w:rPr>
        <w:t>Not</w:t>
      </w:r>
      <w:proofErr w:type="spellEnd"/>
      <w:r w:rsidRPr="005F2C03">
        <w:rPr>
          <w:rFonts w:eastAsia="Batang" w:cs="Arial"/>
        </w:rPr>
        <w:t xml:space="preserve"> </w:t>
      </w:r>
      <w:proofErr w:type="spellStart"/>
      <w:r w:rsidRPr="005F2C03">
        <w:rPr>
          <w:rFonts w:eastAsia="Batang" w:cs="Arial"/>
        </w:rPr>
        <w:t>Reported</w:t>
      </w:r>
      <w:proofErr w:type="spellEnd"/>
      <w:r w:rsidRPr="005F2C03">
        <w:rPr>
          <w:rFonts w:eastAsia="Batang" w:cs="Arial"/>
        </w:rPr>
        <w:t>, IBNR) procuran estimar los siniestros que a una fecha dada ya ocurrieron, pero no han sido informados a la aseguradora. Los registros contables deben tener en cuenta esta realidad, aun cuando el valor que se determine no pueda ser asignable en forma directa a un evento conocido. Para su estimación existen distintas metodologías. Basta agregar, por ahora, que el concepto de IBNR incluye muchas veces el de IBNER (</w:t>
      </w:r>
      <w:proofErr w:type="spellStart"/>
      <w:r w:rsidRPr="005F2C03">
        <w:rPr>
          <w:rFonts w:eastAsia="Batang" w:cs="Arial"/>
        </w:rPr>
        <w:t>Incurred</w:t>
      </w:r>
      <w:proofErr w:type="spellEnd"/>
      <w:r w:rsidRPr="005F2C03">
        <w:rPr>
          <w:rFonts w:eastAsia="Batang" w:cs="Arial"/>
        </w:rPr>
        <w:t xml:space="preserve"> </w:t>
      </w:r>
      <w:proofErr w:type="spellStart"/>
      <w:r w:rsidRPr="005F2C03">
        <w:rPr>
          <w:rFonts w:eastAsia="Batang" w:cs="Arial"/>
        </w:rPr>
        <w:t>But</w:t>
      </w:r>
      <w:proofErr w:type="spellEnd"/>
      <w:r w:rsidRPr="005F2C03">
        <w:rPr>
          <w:rFonts w:eastAsia="Batang" w:cs="Arial"/>
        </w:rPr>
        <w:t xml:space="preserve"> </w:t>
      </w:r>
      <w:proofErr w:type="spellStart"/>
      <w:r w:rsidRPr="005F2C03">
        <w:rPr>
          <w:rFonts w:eastAsia="Batang" w:cs="Arial"/>
        </w:rPr>
        <w:t>not</w:t>
      </w:r>
      <w:proofErr w:type="spellEnd"/>
      <w:r w:rsidRPr="005F2C03">
        <w:rPr>
          <w:rFonts w:eastAsia="Batang" w:cs="Arial"/>
        </w:rPr>
        <w:t xml:space="preserve"> </w:t>
      </w:r>
      <w:proofErr w:type="spellStart"/>
      <w:r w:rsidRPr="005F2C03">
        <w:rPr>
          <w:rFonts w:eastAsia="Batang" w:cs="Arial"/>
        </w:rPr>
        <w:t>Enough</w:t>
      </w:r>
      <w:proofErr w:type="spellEnd"/>
      <w:r w:rsidRPr="005F2C03">
        <w:rPr>
          <w:rFonts w:eastAsia="Batang" w:cs="Arial"/>
        </w:rPr>
        <w:t xml:space="preserve"> </w:t>
      </w:r>
      <w:proofErr w:type="spellStart"/>
      <w:r w:rsidRPr="005F2C03">
        <w:rPr>
          <w:rFonts w:eastAsia="Batang" w:cs="Arial"/>
        </w:rPr>
        <w:t>Reported</w:t>
      </w:r>
      <w:proofErr w:type="spellEnd"/>
      <w:r w:rsidRPr="005F2C03">
        <w:rPr>
          <w:rFonts w:eastAsia="Batang" w:cs="Arial"/>
        </w:rPr>
        <w:t xml:space="preserve">) y corresponde a siniestros conocidos a los que, por falta de información adecuada, se les ha estimado una reserva por montos incorrectos. </w:t>
      </w:r>
    </w:p>
    <w:p w14:paraId="4D40DB6A" w14:textId="77777777" w:rsidR="00755C97" w:rsidRPr="005F2C03" w:rsidRDefault="00755C97" w:rsidP="00755C97">
      <w:pPr>
        <w:pStyle w:val="Sinespaciado3"/>
        <w:ind w:right="51"/>
        <w:jc w:val="both"/>
        <w:rPr>
          <w:rFonts w:ascii="Arial Narrow" w:hAnsi="Arial Narrow" w:cs="Arial"/>
          <w:bCs/>
          <w:lang w:val="es-CO"/>
        </w:rPr>
      </w:pPr>
    </w:p>
    <w:p w14:paraId="4C2E4E45" w14:textId="77777777" w:rsidR="00755C97" w:rsidRPr="005F2C03" w:rsidRDefault="00755C97">
      <w:pPr>
        <w:pStyle w:val="Sinespaciado3"/>
        <w:numPr>
          <w:ilvl w:val="0"/>
          <w:numId w:val="13"/>
        </w:numPr>
        <w:ind w:right="51"/>
        <w:jc w:val="both"/>
        <w:rPr>
          <w:rFonts w:ascii="Arial Narrow" w:hAnsi="Arial Narrow" w:cs="Arial"/>
          <w:b/>
          <w:bCs/>
          <w:lang w:val="es-CO"/>
        </w:rPr>
      </w:pPr>
      <w:r w:rsidRPr="005F2C03">
        <w:rPr>
          <w:rFonts w:ascii="Arial Narrow" w:hAnsi="Arial Narrow" w:cs="Arial"/>
          <w:b/>
          <w:bCs/>
          <w:lang w:val="es-CO"/>
        </w:rPr>
        <w:t>Indicador de Exceso o Defecto de Patrimonio</w:t>
      </w:r>
    </w:p>
    <w:p w14:paraId="277D81F6" w14:textId="77777777" w:rsidR="00755C97" w:rsidRPr="005F2C03" w:rsidRDefault="00755C97" w:rsidP="00755C97">
      <w:pPr>
        <w:pStyle w:val="Sinespaciado3"/>
        <w:ind w:right="51"/>
        <w:jc w:val="both"/>
        <w:rPr>
          <w:rFonts w:ascii="Arial Narrow" w:hAnsi="Arial Narrow" w:cs="Arial"/>
          <w:bCs/>
          <w:lang w:val="es-CO"/>
        </w:rPr>
      </w:pPr>
    </w:p>
    <w:p w14:paraId="14EF8C7E" w14:textId="77777777" w:rsidR="00755C97" w:rsidRPr="005F2C03" w:rsidRDefault="00755C97" w:rsidP="00755C97">
      <w:pPr>
        <w:spacing w:line="240" w:lineRule="atLeast"/>
        <w:jc w:val="both"/>
        <w:rPr>
          <w:rFonts w:eastAsia="Batang" w:cs="Arial"/>
        </w:rPr>
      </w:pPr>
      <w:r w:rsidRPr="005F2C03">
        <w:rPr>
          <w:rFonts w:eastAsia="Batang" w:cs="Arial"/>
        </w:rPr>
        <w:t>Atendiendo a que las Entidades Estatales pueden establecer indicadores adicionales a los establecidos en el numeral 3 del artículo 2.2.1.1.1.5.3 del Decreto 1082 de 2015 para aquellos casos en que sea necesario por las características del objeto a contratar, por lo cual se solicita, para el presente proceso, el indicador financiero adicional de Exceso o defecto de patrimonio.</w:t>
      </w:r>
    </w:p>
    <w:p w14:paraId="44ED743F" w14:textId="77777777" w:rsidR="00755C97" w:rsidRPr="005F2C03" w:rsidRDefault="00755C97" w:rsidP="00755C97">
      <w:pPr>
        <w:spacing w:line="240" w:lineRule="atLeast"/>
        <w:jc w:val="both"/>
        <w:rPr>
          <w:rFonts w:eastAsia="Batang" w:cs="Arial"/>
        </w:rPr>
      </w:pPr>
    </w:p>
    <w:p w14:paraId="649170BF" w14:textId="77777777" w:rsidR="00755C97" w:rsidRPr="005F2C03" w:rsidRDefault="00755C97" w:rsidP="00755C97">
      <w:pPr>
        <w:spacing w:line="240" w:lineRule="atLeast"/>
        <w:jc w:val="both"/>
        <w:rPr>
          <w:rFonts w:eastAsia="Batang" w:cs="Arial"/>
        </w:rPr>
      </w:pPr>
      <w:r w:rsidRPr="005F2C03">
        <w:rPr>
          <w:rFonts w:eastAsia="Batang" w:cs="Arial"/>
        </w:rPr>
        <w:t xml:space="preserve">La fórmula de cálculo es: </w:t>
      </w:r>
      <w:r w:rsidRPr="005F2C03">
        <w:rPr>
          <w:rFonts w:eastAsia="Batang" w:cs="Arial"/>
          <w:u w:val="single"/>
        </w:rPr>
        <w:t>(Patrimonio técnico – Patrimonio Adecuado: Positivo)</w:t>
      </w:r>
      <w:r w:rsidRPr="005F2C03">
        <w:rPr>
          <w:rFonts w:eastAsia="Batang" w:cs="Arial"/>
        </w:rPr>
        <w:t xml:space="preserve"> </w:t>
      </w:r>
    </w:p>
    <w:p w14:paraId="3A9F43C0" w14:textId="77777777" w:rsidR="00755C97" w:rsidRPr="005F2C03" w:rsidRDefault="00755C97" w:rsidP="00755C97">
      <w:pPr>
        <w:spacing w:line="240" w:lineRule="atLeast"/>
        <w:jc w:val="both"/>
        <w:rPr>
          <w:rFonts w:eastAsia="Batang" w:cs="Arial"/>
        </w:rPr>
      </w:pPr>
    </w:p>
    <w:p w14:paraId="0AF6F9F7" w14:textId="77777777" w:rsidR="00755C97" w:rsidRPr="005F2C03" w:rsidRDefault="00755C97" w:rsidP="00755C97">
      <w:pPr>
        <w:spacing w:line="240" w:lineRule="atLeast"/>
        <w:jc w:val="both"/>
        <w:rPr>
          <w:rFonts w:eastAsia="Batang" w:cs="Arial"/>
        </w:rPr>
      </w:pPr>
      <w:r w:rsidRPr="005F2C03">
        <w:rPr>
          <w:rFonts w:eastAsia="Batang" w:cs="Arial"/>
        </w:rPr>
        <w:t xml:space="preserve">Se efectúa el análisis de este indicador según lo dispuesto en el Estatuto Orgánico del Sistema Financiero, Decreto 2954 de 2010, mediante el cual se estableció el régimen de patrimonio adecuado para las entidades aseguradoras, como indicador </w:t>
      </w:r>
      <w:r w:rsidRPr="005F2C03">
        <w:rPr>
          <w:rFonts w:eastAsia="Batang" w:cs="Arial"/>
          <w:b/>
          <w:bCs/>
          <w:u w:val="single"/>
        </w:rPr>
        <w:t>integral y específico para evidenciar la efectiva capacidad financiera de las compañías de seguros</w:t>
      </w:r>
      <w:r w:rsidRPr="005F2C03">
        <w:rPr>
          <w:rFonts w:eastAsia="Batang" w:cs="Arial"/>
        </w:rPr>
        <w:t xml:space="preserve">, tal como se indica en el considerando de dicha norma, en el que estipula lo siguiente: </w:t>
      </w:r>
    </w:p>
    <w:p w14:paraId="3FE02AB5" w14:textId="77777777" w:rsidR="00755C97" w:rsidRPr="005F2C03" w:rsidRDefault="00755C97" w:rsidP="00755C97">
      <w:pPr>
        <w:spacing w:line="240" w:lineRule="atLeast"/>
        <w:jc w:val="both"/>
        <w:rPr>
          <w:rFonts w:eastAsia="Batang" w:cs="Arial"/>
        </w:rPr>
      </w:pPr>
    </w:p>
    <w:p w14:paraId="15D34184" w14:textId="77777777" w:rsidR="00755C97" w:rsidRPr="005F2C03" w:rsidRDefault="00755C97" w:rsidP="00755C97">
      <w:pPr>
        <w:spacing w:line="240" w:lineRule="atLeast"/>
        <w:ind w:left="284"/>
        <w:jc w:val="both"/>
        <w:rPr>
          <w:rFonts w:eastAsia="Batang" w:cs="Arial"/>
          <w:i/>
          <w:iCs/>
        </w:rPr>
      </w:pPr>
      <w:r w:rsidRPr="005F2C03">
        <w:rPr>
          <w:rFonts w:eastAsia="Batang" w:cs="Arial"/>
          <w:i/>
          <w:iCs/>
        </w:rPr>
        <w:t xml:space="preserve">“Que, de acuerdo con los estándares internacionales de regulación, los requerimientos de solvencia para las entidades aseguradoras deben tener en cuenta no sólo los riesgos de suscripción asociados a los riesgos amparados y las primas cobradas, sino que también deben considerar otro tipo de riesgos como los propiamente financieros tal como el de mercado y el de activo. </w:t>
      </w:r>
    </w:p>
    <w:p w14:paraId="64851DAC" w14:textId="77777777" w:rsidR="00755C97" w:rsidRPr="005F2C03" w:rsidRDefault="00755C97" w:rsidP="00755C97">
      <w:pPr>
        <w:spacing w:line="240" w:lineRule="atLeast"/>
        <w:ind w:left="284"/>
        <w:jc w:val="both"/>
        <w:rPr>
          <w:rFonts w:eastAsia="Batang" w:cs="Arial"/>
          <w:i/>
          <w:iCs/>
        </w:rPr>
      </w:pPr>
    </w:p>
    <w:p w14:paraId="61D03C94" w14:textId="77777777" w:rsidR="00755C97" w:rsidRPr="005F2C03" w:rsidRDefault="00755C97" w:rsidP="00755C97">
      <w:pPr>
        <w:spacing w:line="240" w:lineRule="atLeast"/>
        <w:ind w:left="284"/>
        <w:jc w:val="both"/>
        <w:rPr>
          <w:rFonts w:eastAsia="Batang" w:cs="Arial"/>
          <w:i/>
          <w:iCs/>
        </w:rPr>
      </w:pPr>
      <w:r w:rsidRPr="005F2C03">
        <w:rPr>
          <w:rFonts w:eastAsia="Batang" w:cs="Arial"/>
          <w:i/>
          <w:iCs/>
        </w:rPr>
        <w:lastRenderedPageBreak/>
        <w:t xml:space="preserve">Que, dado que pueden existir correlaciones entre los diferentes riesgos considerados y que dichas correlaciones varían en cada entidad, las aseguradoras podrán utilizar modelos de medición propios para el cálculo de dichas correlaciones previa autorización de la Superintendencia Financiera de Colombia. Así mismo se podrán presentar modelos de industria, autorizados por la Superintendencia Financiera de Colombia, que den cuenta de las diferentes correlaciones existentes en cada entidad. </w:t>
      </w:r>
    </w:p>
    <w:p w14:paraId="0CB0E597" w14:textId="77777777" w:rsidR="00755C97" w:rsidRPr="005F2C03" w:rsidRDefault="00755C97" w:rsidP="00755C97">
      <w:pPr>
        <w:spacing w:line="240" w:lineRule="atLeast"/>
        <w:ind w:left="284"/>
        <w:jc w:val="both"/>
        <w:rPr>
          <w:rFonts w:eastAsia="Batang" w:cs="Arial"/>
          <w:i/>
          <w:iCs/>
        </w:rPr>
      </w:pPr>
    </w:p>
    <w:p w14:paraId="796493F0" w14:textId="77777777" w:rsidR="00755C97" w:rsidRPr="005F2C03" w:rsidRDefault="00755C97" w:rsidP="00755C97">
      <w:pPr>
        <w:spacing w:line="240" w:lineRule="atLeast"/>
        <w:ind w:left="284"/>
        <w:jc w:val="both"/>
        <w:rPr>
          <w:rFonts w:eastAsia="Batang" w:cs="Arial"/>
          <w:i/>
          <w:iCs/>
        </w:rPr>
      </w:pPr>
      <w:r w:rsidRPr="005F2C03">
        <w:rPr>
          <w:rFonts w:eastAsia="Batang" w:cs="Arial"/>
          <w:i/>
          <w:iCs/>
        </w:rPr>
        <w:t xml:space="preserve"> Que, con el objetivo de determinar el valor correspondiente al riesgo de activo, las entidades aseguradoras deben clasificarlos en alguna de las categorías de riesgo establecidas en el presente decreto y posteriormente ponderarlos según su nivel de riesgo, con el fin de garantizar que la entidad cuenta con un patrimonio sano, adecuado y de calidad”.</w:t>
      </w:r>
    </w:p>
    <w:p w14:paraId="228C6656" w14:textId="77777777" w:rsidR="00755C97" w:rsidRPr="005F2C03" w:rsidRDefault="00755C97" w:rsidP="00755C97">
      <w:pPr>
        <w:spacing w:line="240" w:lineRule="atLeast"/>
        <w:jc w:val="both"/>
        <w:rPr>
          <w:rFonts w:eastAsia="Batang" w:cs="Arial"/>
          <w:i/>
          <w:iCs/>
        </w:rPr>
      </w:pPr>
    </w:p>
    <w:p w14:paraId="7F3EA65D" w14:textId="77777777" w:rsidR="00755C97" w:rsidRPr="005F2C03" w:rsidRDefault="00755C97" w:rsidP="00755C97">
      <w:pPr>
        <w:spacing w:line="240" w:lineRule="atLeast"/>
        <w:jc w:val="both"/>
        <w:rPr>
          <w:rFonts w:eastAsia="Batang" w:cs="Arial"/>
          <w:i/>
          <w:iCs/>
        </w:rPr>
      </w:pPr>
      <w:r w:rsidRPr="005F2C03">
        <w:rPr>
          <w:rFonts w:eastAsia="Batang" w:cs="Arial"/>
        </w:rPr>
        <w:t>Así mismo, dentro del citado Decreto, se establecen las fórmulas que deben tener en cuenta las compañías de seguros para acreditar el régimen de patrimonio adecuado, estableciéndose en su artículo 2.3.1.1.2.1. que</w:t>
      </w:r>
      <w:r w:rsidRPr="005F2C03">
        <w:rPr>
          <w:rFonts w:eastAsia="Batang" w:cs="Arial"/>
          <w:i/>
          <w:iCs/>
        </w:rPr>
        <w:t xml:space="preserve"> “Las entidades aseguradoras deben mantener permanentemente y acreditar ante la Superintendencia Financiera de Colombia en la forma y plazos que ésta determine, un patrimonio técnico equivalente como mínimo al nivel de patrimonio adecuado establecido en el Capítulo 2 del Título 1 del Libro 31 de la Parte 2 del presente Decreto”.</w:t>
      </w:r>
    </w:p>
    <w:p w14:paraId="218135AC" w14:textId="77777777" w:rsidR="00755C97" w:rsidRPr="005F2C03" w:rsidRDefault="00755C97" w:rsidP="00755C97">
      <w:pPr>
        <w:spacing w:line="240" w:lineRule="atLeast"/>
        <w:jc w:val="both"/>
        <w:rPr>
          <w:rFonts w:eastAsia="Batang" w:cs="Arial"/>
        </w:rPr>
      </w:pPr>
    </w:p>
    <w:p w14:paraId="74F4D2EF" w14:textId="77777777" w:rsidR="00755C97" w:rsidRPr="005F2C03" w:rsidRDefault="00755C97" w:rsidP="00755C97">
      <w:pPr>
        <w:spacing w:line="240" w:lineRule="atLeast"/>
        <w:jc w:val="both"/>
        <w:rPr>
          <w:rFonts w:eastAsia="Batang" w:cs="Arial"/>
        </w:rPr>
      </w:pPr>
      <w:r w:rsidRPr="005F2C03">
        <w:rPr>
          <w:rFonts w:eastAsia="Batang" w:cs="Arial"/>
        </w:rPr>
        <w:t>Por lo anterior, todas las compañías de seguros deben presentar trimestralmente a la Superintendencia Financiera de Colombia estos indicadores, razón por la cual, para el presente proceso se verificará con el último corte publicado en la página de la Superintendencia Financiera de Colombia (Abril de 2024), en su página web:</w:t>
      </w:r>
    </w:p>
    <w:p w14:paraId="6F4D17A7" w14:textId="77777777" w:rsidR="00755C97" w:rsidRPr="005F2C03" w:rsidRDefault="00755C97" w:rsidP="00755C97">
      <w:pPr>
        <w:spacing w:line="240" w:lineRule="atLeast"/>
        <w:jc w:val="both"/>
        <w:rPr>
          <w:rFonts w:eastAsia="Batang" w:cs="Arial"/>
        </w:rPr>
      </w:pPr>
    </w:p>
    <w:p w14:paraId="7B91532E" w14:textId="77777777" w:rsidR="00755C97" w:rsidRPr="005F2C03" w:rsidRDefault="00FF22CE" w:rsidP="00755C97">
      <w:pPr>
        <w:spacing w:line="240" w:lineRule="atLeast"/>
        <w:jc w:val="both"/>
        <w:rPr>
          <w:rStyle w:val="Hipervnculo"/>
        </w:rPr>
      </w:pPr>
      <w:hyperlink r:id="rId79" w:history="1">
        <w:r w:rsidR="00755C97" w:rsidRPr="005F2C03">
          <w:rPr>
            <w:rStyle w:val="Hipervnculo"/>
            <w:rFonts w:eastAsia="Batang" w:cs="Arial"/>
          </w:rPr>
          <w:t>https://www.superfinanciera.gov.co/IngresoPowerBI/</w:t>
        </w:r>
      </w:hyperlink>
    </w:p>
    <w:p w14:paraId="1131131C" w14:textId="77777777" w:rsidR="00755C97" w:rsidRPr="005F2C03" w:rsidRDefault="00755C97" w:rsidP="00755C97">
      <w:pPr>
        <w:spacing w:line="240" w:lineRule="atLeast"/>
        <w:jc w:val="both"/>
        <w:rPr>
          <w:rStyle w:val="Hipervnculo"/>
          <w:rFonts w:eastAsia="Batang" w:cs="Arial"/>
        </w:rPr>
      </w:pPr>
    </w:p>
    <w:p w14:paraId="22B6D557" w14:textId="77777777" w:rsidR="00755C97" w:rsidRPr="005F2C03" w:rsidRDefault="00755C97" w:rsidP="00755C97">
      <w:pPr>
        <w:spacing w:line="240" w:lineRule="atLeast"/>
        <w:jc w:val="both"/>
        <w:rPr>
          <w:rFonts w:eastAsia="Times New Roman"/>
        </w:rPr>
      </w:pPr>
      <w:r w:rsidRPr="005F2C03">
        <w:rPr>
          <w:rFonts w:eastAsia="Batang" w:cs="Arial"/>
        </w:rPr>
        <w:t>Lo anterior,</w:t>
      </w:r>
      <w:r w:rsidRPr="005F2C03">
        <w:rPr>
          <w:rFonts w:cs="Arial"/>
        </w:rPr>
        <w:t xml:space="preserve"> atendiendo que este indicador adicional no se encuentra establecido en el RUP.</w:t>
      </w:r>
    </w:p>
    <w:p w14:paraId="5B233EF9" w14:textId="77777777" w:rsidR="00755C97" w:rsidRPr="005F2C03" w:rsidRDefault="00755C97" w:rsidP="00755C97">
      <w:pPr>
        <w:spacing w:line="240" w:lineRule="atLeast"/>
        <w:jc w:val="both"/>
        <w:rPr>
          <w:rFonts w:cs="Arial"/>
        </w:rPr>
      </w:pPr>
    </w:p>
    <w:p w14:paraId="5DB96420" w14:textId="18893A80" w:rsidR="00755C97" w:rsidRPr="005F2C03" w:rsidRDefault="00755C97" w:rsidP="001D21F6">
      <w:pPr>
        <w:pStyle w:val="Sinespaciado3"/>
        <w:ind w:right="51"/>
        <w:jc w:val="both"/>
        <w:rPr>
          <w:rFonts w:ascii="Arial Narrow" w:hAnsi="Arial Narrow" w:cs="Arial"/>
          <w:b/>
          <w:bCs/>
          <w:lang w:val="es-CO"/>
        </w:rPr>
      </w:pPr>
      <w:r w:rsidRPr="005F2C03">
        <w:rPr>
          <w:rFonts w:ascii="Arial Narrow" w:hAnsi="Arial Narrow" w:cs="Arial"/>
          <w:b/>
          <w:bCs/>
          <w:lang w:val="es-CO"/>
        </w:rPr>
        <w:t>CAPACIDAD ORGANIZACIONAL</w:t>
      </w:r>
    </w:p>
    <w:p w14:paraId="2C43162A" w14:textId="77777777" w:rsidR="00755C97" w:rsidRPr="005F2C03" w:rsidRDefault="00755C97" w:rsidP="00755C97">
      <w:pPr>
        <w:pStyle w:val="Sinespaciado3"/>
        <w:ind w:right="51"/>
        <w:jc w:val="both"/>
        <w:rPr>
          <w:rFonts w:ascii="Arial Narrow" w:hAnsi="Arial Narrow" w:cs="Arial"/>
          <w:bCs/>
          <w:lang w:val="es-CO"/>
        </w:rPr>
      </w:pPr>
    </w:p>
    <w:p w14:paraId="24B60A5F" w14:textId="77777777" w:rsidR="00755C97" w:rsidRPr="005F2C03" w:rsidRDefault="00755C97" w:rsidP="00755C97">
      <w:pPr>
        <w:pStyle w:val="Sinespaciado3"/>
        <w:ind w:right="51"/>
        <w:jc w:val="both"/>
        <w:rPr>
          <w:rFonts w:ascii="Arial Narrow" w:eastAsia="Batang" w:hAnsi="Arial Narrow" w:cs="Arial"/>
          <w:lang w:val="es-ES" w:eastAsia="es-ES"/>
        </w:rPr>
      </w:pPr>
      <w:r w:rsidRPr="005F2C03">
        <w:rPr>
          <w:rFonts w:ascii="Arial Narrow" w:eastAsia="Batang" w:hAnsi="Arial Narrow" w:cs="Arial"/>
          <w:lang w:val="es-ES" w:eastAsia="es-ES"/>
        </w:rPr>
        <w:t>Frente a la verificación de la capacidad organizacional, la cual se establece en el artículo 2.2.1.1.1.5.3 del Decreto 1082 de 2015 en su numeral 4 como indicadores para medir el rendimiento de las inversiones y la eficiencia en el uso de activos, una vez verificado el mercado asegurador y atendiendo las consideraciones anteriores en el entendido que para las compañías de seguros el indicador significativo es el patrimonio que deben reportar trimestralmente a la Superintendencia Financiera de Colombia las compañías de seguros, se encuentra que estos indicadores no presentan márgenes altos e incluso existiendo compañías con indicador en negativo.</w:t>
      </w:r>
    </w:p>
    <w:p w14:paraId="76B8B26E" w14:textId="77777777" w:rsidR="00755C97" w:rsidRPr="005F2C03" w:rsidRDefault="00755C97" w:rsidP="00755C97">
      <w:pPr>
        <w:pStyle w:val="Sinespaciado3"/>
        <w:ind w:left="360" w:right="51"/>
        <w:jc w:val="both"/>
        <w:rPr>
          <w:rFonts w:ascii="Arial Narrow" w:eastAsia="Batang" w:hAnsi="Arial Narrow" w:cs="Arial"/>
          <w:lang w:val="es-ES" w:eastAsia="es-ES"/>
        </w:rPr>
      </w:pPr>
    </w:p>
    <w:p w14:paraId="26A21096" w14:textId="77777777" w:rsidR="00755C97" w:rsidRPr="005F2C03" w:rsidRDefault="00755C97" w:rsidP="00755C97">
      <w:pPr>
        <w:pStyle w:val="Sinespaciado3"/>
        <w:spacing w:line="240" w:lineRule="atLeast"/>
        <w:ind w:right="51"/>
        <w:jc w:val="both"/>
        <w:rPr>
          <w:rFonts w:ascii="Arial Narrow" w:eastAsia="Batang" w:hAnsi="Arial Narrow" w:cs="Arial"/>
          <w:lang w:val="es-ES" w:eastAsia="es-ES"/>
        </w:rPr>
      </w:pPr>
      <w:r w:rsidRPr="005F2C03">
        <w:rPr>
          <w:rFonts w:ascii="Arial Narrow" w:eastAsia="Batang" w:hAnsi="Arial Narrow" w:cs="Arial"/>
          <w:lang w:val="es-ES" w:eastAsia="es-ES"/>
        </w:rPr>
        <w:t xml:space="preserve">Vale la pena resaltar que estos indicadores de rentabilidad del activo y del patrimonio, se utilizan para observar cual es el real margen de rentabilidad de los accionistas con relación a su inversión. Este valor, es más un indicador para análisis interno de los oferentes, toda vez que éste les permite comparar el valor obtenido con el costo de oportunidad, es decir con otras alternativas de inversión posibles del mercado, pero que no miden la capacidad financiera real de las compañías de seguros y al presentarse en negativo para algunas compañías de seguros, no significa que las mencionadas sociedades estén pasando por una mala situación organizacional. </w:t>
      </w:r>
    </w:p>
    <w:p w14:paraId="32631040" w14:textId="77777777" w:rsidR="00755C97" w:rsidRPr="005F2C03" w:rsidRDefault="00755C97" w:rsidP="00755C97">
      <w:pPr>
        <w:pStyle w:val="Sinespaciado3"/>
        <w:spacing w:line="240" w:lineRule="atLeast"/>
        <w:ind w:right="51"/>
        <w:jc w:val="both"/>
        <w:rPr>
          <w:rFonts w:ascii="Arial Narrow" w:eastAsia="Batang" w:hAnsi="Arial Narrow" w:cs="Arial"/>
          <w:lang w:val="es-ES" w:eastAsia="es-ES"/>
        </w:rPr>
      </w:pPr>
    </w:p>
    <w:p w14:paraId="1D734536" w14:textId="16319DC7" w:rsidR="00755C97" w:rsidRPr="005F2C03" w:rsidRDefault="00755C97" w:rsidP="00755C97">
      <w:pPr>
        <w:pStyle w:val="Sinespaciado3"/>
        <w:spacing w:line="240" w:lineRule="atLeast"/>
        <w:ind w:right="51"/>
        <w:jc w:val="both"/>
        <w:rPr>
          <w:rFonts w:ascii="Arial Narrow" w:hAnsi="Arial Narrow" w:cs="Arial"/>
          <w:b/>
          <w:bCs/>
          <w:lang w:val="es-CO"/>
        </w:rPr>
      </w:pPr>
      <w:r w:rsidRPr="005F2C03">
        <w:rPr>
          <w:rFonts w:ascii="Arial Narrow" w:eastAsia="Batang" w:hAnsi="Arial Narrow" w:cs="Arial"/>
          <w:lang w:val="es-ES" w:eastAsia="es-ES"/>
        </w:rPr>
        <w:lastRenderedPageBreak/>
        <w:t xml:space="preserve">El </w:t>
      </w:r>
      <w:r w:rsidR="00F00ED4" w:rsidRPr="005F2C03">
        <w:rPr>
          <w:rFonts w:ascii="Arial Narrow" w:eastAsia="Batang" w:hAnsi="Arial Narrow" w:cs="Arial"/>
          <w:lang w:val="es-ES" w:eastAsia="es-ES"/>
        </w:rPr>
        <w:t>margen</w:t>
      </w:r>
      <w:r w:rsidR="00631DE0" w:rsidRPr="005F2C03">
        <w:rPr>
          <w:rFonts w:ascii="Arial Narrow" w:eastAsia="Batang" w:hAnsi="Arial Narrow" w:cs="Arial"/>
          <w:lang w:val="es-ES" w:eastAsia="es-ES"/>
        </w:rPr>
        <w:t xml:space="preserve"> de las compañías de seguros, que </w:t>
      </w:r>
      <w:r w:rsidRPr="005F2C03">
        <w:rPr>
          <w:rFonts w:ascii="Arial Narrow" w:eastAsia="Batang" w:hAnsi="Arial Narrow" w:cs="Arial"/>
          <w:lang w:val="es-ES" w:eastAsia="es-ES"/>
        </w:rPr>
        <w:t>habitualmente participan en procesos de contratación son los siguientes:</w:t>
      </w:r>
    </w:p>
    <w:p w14:paraId="6A32F9EA" w14:textId="77777777" w:rsidR="00755C97" w:rsidRPr="005F2C03" w:rsidRDefault="00755C97" w:rsidP="00755C97">
      <w:pPr>
        <w:pStyle w:val="Sinespaciado3"/>
        <w:spacing w:line="240" w:lineRule="atLeast"/>
        <w:ind w:left="720" w:right="51"/>
        <w:jc w:val="both"/>
        <w:rPr>
          <w:rFonts w:ascii="Arial Narrow" w:hAnsi="Arial Narrow" w:cs="Arial"/>
          <w:b/>
          <w:bCs/>
          <w:lang w:val="es-CO"/>
        </w:rPr>
      </w:pPr>
    </w:p>
    <w:p w14:paraId="40AA62EB" w14:textId="77777777" w:rsidR="00755C97" w:rsidRPr="005F2C03" w:rsidRDefault="00755C97">
      <w:pPr>
        <w:pStyle w:val="Sinespaciado3"/>
        <w:numPr>
          <w:ilvl w:val="0"/>
          <w:numId w:val="14"/>
        </w:numPr>
        <w:spacing w:line="240" w:lineRule="atLeast"/>
        <w:ind w:right="51"/>
        <w:jc w:val="both"/>
        <w:rPr>
          <w:rFonts w:ascii="Arial Narrow" w:hAnsi="Arial Narrow" w:cs="Arial"/>
          <w:b/>
          <w:bCs/>
          <w:lang w:val="es-CO"/>
        </w:rPr>
      </w:pPr>
      <w:r w:rsidRPr="005F2C03">
        <w:rPr>
          <w:rFonts w:ascii="Arial Narrow" w:hAnsi="Arial Narrow" w:cs="Arial"/>
          <w:b/>
          <w:bCs/>
          <w:lang w:val="es-CO"/>
        </w:rPr>
        <w:t>Rentabilidad del patrimonio:</w:t>
      </w:r>
    </w:p>
    <w:p w14:paraId="63A1B433" w14:textId="77777777" w:rsidR="00755C97" w:rsidRPr="005F2C03" w:rsidRDefault="00755C97" w:rsidP="00755C97">
      <w:pPr>
        <w:pStyle w:val="Sinespaciado3"/>
        <w:spacing w:line="240" w:lineRule="atLeast"/>
        <w:ind w:right="51"/>
        <w:jc w:val="both"/>
        <w:rPr>
          <w:rFonts w:ascii="Arial Narrow" w:hAnsi="Arial Narrow" w:cs="Arial"/>
          <w:b/>
          <w:bCs/>
          <w:lang w:val="es-CO"/>
        </w:rPr>
      </w:pPr>
    </w:p>
    <w:tbl>
      <w:tblPr>
        <w:tblW w:w="3750" w:type="pct"/>
        <w:jc w:val="center"/>
        <w:tblCellMar>
          <w:left w:w="70" w:type="dxa"/>
          <w:right w:w="70" w:type="dxa"/>
        </w:tblCellMar>
        <w:tblLook w:val="04A0" w:firstRow="1" w:lastRow="0" w:firstColumn="1" w:lastColumn="0" w:noHBand="0" w:noVBand="1"/>
      </w:tblPr>
      <w:tblGrid>
        <w:gridCol w:w="5691"/>
        <w:gridCol w:w="930"/>
      </w:tblGrid>
      <w:tr w:rsidR="00755C97" w:rsidRPr="005F2C03" w14:paraId="67767B26" w14:textId="77777777" w:rsidTr="00755C97">
        <w:trPr>
          <w:trHeight w:val="27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F4761"/>
            <w:vAlign w:val="center"/>
            <w:hideMark/>
          </w:tcPr>
          <w:p w14:paraId="4D8AF8C5" w14:textId="77777777" w:rsidR="00755C97" w:rsidRPr="005F2C03" w:rsidRDefault="00755C97">
            <w:pPr>
              <w:spacing w:line="276" w:lineRule="auto"/>
              <w:jc w:val="center"/>
              <w:rPr>
                <w:rFonts w:eastAsia="Calibri" w:cs="Arial"/>
                <w:b/>
                <w:bCs/>
                <w:kern w:val="2"/>
                <w:lang w:eastAsia="es-ES"/>
                <w14:ligatures w14:val="standardContextual"/>
              </w:rPr>
            </w:pPr>
            <w:r w:rsidRPr="005F2C03">
              <w:rPr>
                <w:rFonts w:eastAsia="Calibri" w:cs="Arial"/>
                <w:b/>
                <w:bCs/>
                <w:color w:val="FFFFFF"/>
                <w:kern w:val="2"/>
                <w14:ligatures w14:val="standardContextual"/>
              </w:rPr>
              <w:t>RENTABILIDAD DEL PATRIMONIO</w:t>
            </w:r>
          </w:p>
        </w:tc>
      </w:tr>
      <w:tr w:rsidR="00755C97" w:rsidRPr="005F2C03" w14:paraId="58667AC5"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83CAEB"/>
            <w:vAlign w:val="center"/>
            <w:hideMark/>
          </w:tcPr>
          <w:p w14:paraId="475F5BFD" w14:textId="77777777" w:rsidR="00755C97" w:rsidRPr="005F2C03" w:rsidRDefault="00755C97">
            <w:pPr>
              <w:spacing w:line="276" w:lineRule="auto"/>
              <w:jc w:val="both"/>
              <w:rPr>
                <w:rFonts w:eastAsia="Calibri" w:cs="Arial"/>
                <w:b/>
                <w:bCs/>
                <w:kern w:val="2"/>
                <w:lang w:eastAsia="es-ES_tradnl"/>
                <w14:ligatures w14:val="standardContextual"/>
              </w:rPr>
            </w:pPr>
            <w:r w:rsidRPr="005F2C03">
              <w:rPr>
                <w:rFonts w:eastAsia="Calibri" w:cs="Arial"/>
                <w:b/>
                <w:bCs/>
                <w:kern w:val="2"/>
                <w14:ligatures w14:val="standardContextual"/>
              </w:rPr>
              <w:t>ASEGURADORA / AÑO</w:t>
            </w:r>
          </w:p>
        </w:tc>
        <w:tc>
          <w:tcPr>
            <w:tcW w:w="702" w:type="pct"/>
            <w:tcBorders>
              <w:top w:val="nil"/>
              <w:left w:val="nil"/>
              <w:bottom w:val="single" w:sz="4" w:space="0" w:color="auto"/>
              <w:right w:val="single" w:sz="4" w:space="0" w:color="auto"/>
            </w:tcBorders>
            <w:shd w:val="clear" w:color="auto" w:fill="83CAEB"/>
            <w:vAlign w:val="center"/>
            <w:hideMark/>
          </w:tcPr>
          <w:p w14:paraId="3058C411" w14:textId="77777777" w:rsidR="00755C97" w:rsidRPr="005F2C03" w:rsidRDefault="00755C97">
            <w:pPr>
              <w:spacing w:line="276" w:lineRule="auto"/>
              <w:jc w:val="center"/>
              <w:rPr>
                <w:rFonts w:eastAsia="Calibri" w:cs="Arial"/>
                <w:b/>
                <w:bCs/>
                <w:kern w:val="2"/>
                <w14:ligatures w14:val="standardContextual"/>
              </w:rPr>
            </w:pPr>
            <w:r w:rsidRPr="005F2C03">
              <w:rPr>
                <w:rFonts w:eastAsia="Calibri" w:cs="Arial"/>
                <w:b/>
                <w:bCs/>
                <w:kern w:val="2"/>
                <w14:ligatures w14:val="standardContextual"/>
              </w:rPr>
              <w:t>2023</w:t>
            </w:r>
          </w:p>
        </w:tc>
      </w:tr>
      <w:tr w:rsidR="00755C97" w:rsidRPr="005F2C03" w14:paraId="7A7EB91F"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E80B30D"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 xml:space="preserve">ALLIANZ SEGUROS S.A. </w:t>
            </w:r>
          </w:p>
        </w:tc>
        <w:tc>
          <w:tcPr>
            <w:tcW w:w="702" w:type="pct"/>
            <w:tcBorders>
              <w:top w:val="nil"/>
              <w:left w:val="nil"/>
              <w:bottom w:val="single" w:sz="4" w:space="0" w:color="auto"/>
              <w:right w:val="single" w:sz="4" w:space="0" w:color="auto"/>
            </w:tcBorders>
            <w:shd w:val="clear" w:color="auto" w:fill="F2F2F2"/>
            <w:noWrap/>
            <w:vAlign w:val="center"/>
            <w:hideMark/>
          </w:tcPr>
          <w:p w14:paraId="5A61F19B"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0.31</w:t>
            </w:r>
          </w:p>
        </w:tc>
      </w:tr>
      <w:tr w:rsidR="00755C97" w:rsidRPr="005F2C03" w14:paraId="624811F8"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A90D717"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ASEGURADORA SOLIDARIA DE COLOMBIA E.C.</w:t>
            </w:r>
          </w:p>
        </w:tc>
        <w:tc>
          <w:tcPr>
            <w:tcW w:w="702" w:type="pct"/>
            <w:tcBorders>
              <w:top w:val="nil"/>
              <w:left w:val="nil"/>
              <w:bottom w:val="single" w:sz="4" w:space="0" w:color="auto"/>
              <w:right w:val="single" w:sz="4" w:space="0" w:color="auto"/>
            </w:tcBorders>
            <w:shd w:val="clear" w:color="auto" w:fill="F2F2F2"/>
            <w:noWrap/>
            <w:vAlign w:val="center"/>
            <w:hideMark/>
          </w:tcPr>
          <w:p w14:paraId="51987EDF" w14:textId="77777777" w:rsidR="00755C97" w:rsidRPr="005F2C03" w:rsidRDefault="00755C97">
            <w:pPr>
              <w:spacing w:line="276" w:lineRule="auto"/>
              <w:jc w:val="center"/>
              <w:rPr>
                <w:rFonts w:eastAsia="Calibri" w:cs="Arial"/>
                <w:kern w:val="2"/>
                <w14:ligatures w14:val="standardContextual"/>
              </w:rPr>
            </w:pPr>
            <w:r w:rsidRPr="005F2C03">
              <w:rPr>
                <w:rFonts w:cs="Arial"/>
              </w:rPr>
              <w:t>0.28</w:t>
            </w:r>
          </w:p>
        </w:tc>
      </w:tr>
      <w:tr w:rsidR="00755C97" w:rsidRPr="005F2C03" w14:paraId="6D0F851F"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1E63296"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AXA COLPATRIA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772F4FA6" w14:textId="77777777" w:rsidR="00755C97" w:rsidRPr="005F2C03" w:rsidRDefault="00755C97">
            <w:pPr>
              <w:spacing w:line="276" w:lineRule="auto"/>
              <w:jc w:val="center"/>
              <w:rPr>
                <w:rFonts w:eastAsia="Calibri" w:cs="Arial"/>
                <w:kern w:val="2"/>
                <w14:ligatures w14:val="standardContextual"/>
              </w:rPr>
            </w:pPr>
            <w:r w:rsidRPr="005F2C03">
              <w:rPr>
                <w:rFonts w:cs="Arial"/>
              </w:rPr>
              <w:t>0.26</w:t>
            </w:r>
          </w:p>
        </w:tc>
      </w:tr>
      <w:tr w:rsidR="00755C97" w:rsidRPr="005F2C03" w14:paraId="14166284"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772E3BC"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CHUBB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5D97654F" w14:textId="77777777" w:rsidR="00755C97" w:rsidRPr="005F2C03" w:rsidRDefault="00755C97">
            <w:pPr>
              <w:spacing w:line="276" w:lineRule="auto"/>
              <w:jc w:val="center"/>
              <w:rPr>
                <w:rFonts w:eastAsia="Calibri" w:cs="Arial"/>
                <w:kern w:val="2"/>
                <w14:ligatures w14:val="standardContextual"/>
              </w:rPr>
            </w:pPr>
            <w:r w:rsidRPr="005F2C03">
              <w:rPr>
                <w:rFonts w:cs="Arial"/>
              </w:rPr>
              <w:t>0.35</w:t>
            </w:r>
          </w:p>
        </w:tc>
      </w:tr>
      <w:tr w:rsidR="00755C97" w:rsidRPr="005F2C03" w14:paraId="3E6F05EF"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39CE1B20"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COMPAÑÍA MUNDIAL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32F364CE" w14:textId="77777777" w:rsidR="00755C97" w:rsidRPr="005F2C03" w:rsidRDefault="00755C97">
            <w:pPr>
              <w:spacing w:line="276" w:lineRule="auto"/>
              <w:jc w:val="center"/>
              <w:rPr>
                <w:rFonts w:eastAsia="Calibri" w:cs="Arial"/>
                <w:kern w:val="2"/>
                <w14:ligatures w14:val="standardContextual"/>
              </w:rPr>
            </w:pPr>
            <w:r w:rsidRPr="005F2C03">
              <w:rPr>
                <w:rFonts w:cs="Arial"/>
              </w:rPr>
              <w:t>0.62</w:t>
            </w:r>
          </w:p>
        </w:tc>
      </w:tr>
      <w:tr w:rsidR="00755C97" w:rsidRPr="005F2C03" w14:paraId="360270BB"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4436629"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HDI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68B2FF8B" w14:textId="77777777" w:rsidR="00755C97" w:rsidRPr="005F2C03" w:rsidRDefault="00755C97">
            <w:pPr>
              <w:spacing w:line="276" w:lineRule="auto"/>
              <w:jc w:val="center"/>
              <w:rPr>
                <w:rFonts w:eastAsia="Calibri" w:cs="Arial"/>
                <w:kern w:val="2"/>
                <w14:ligatures w14:val="standardContextual"/>
              </w:rPr>
            </w:pPr>
            <w:r w:rsidRPr="005F2C03">
              <w:rPr>
                <w:rFonts w:cs="Arial"/>
              </w:rPr>
              <w:t>0.05</w:t>
            </w:r>
          </w:p>
        </w:tc>
      </w:tr>
      <w:tr w:rsidR="00755C97" w:rsidRPr="005F2C03" w14:paraId="2B8D473E"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16AB8BBB"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LA EQUIDAD SEGUROS GENERALES O.C.</w:t>
            </w:r>
          </w:p>
        </w:tc>
        <w:tc>
          <w:tcPr>
            <w:tcW w:w="702" w:type="pct"/>
            <w:tcBorders>
              <w:top w:val="nil"/>
              <w:left w:val="nil"/>
              <w:bottom w:val="single" w:sz="4" w:space="0" w:color="auto"/>
              <w:right w:val="single" w:sz="4" w:space="0" w:color="auto"/>
            </w:tcBorders>
            <w:shd w:val="clear" w:color="auto" w:fill="F2F2F2"/>
            <w:noWrap/>
            <w:vAlign w:val="center"/>
            <w:hideMark/>
          </w:tcPr>
          <w:p w14:paraId="4E1C3796"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0.04</w:t>
            </w:r>
          </w:p>
        </w:tc>
      </w:tr>
      <w:tr w:rsidR="00755C97" w:rsidRPr="005F2C03" w14:paraId="10C75A5D"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5F2CF84"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LA PREVISORA S.A. COMPAÑÍA DE SEGUROS</w:t>
            </w:r>
          </w:p>
        </w:tc>
        <w:tc>
          <w:tcPr>
            <w:tcW w:w="702" w:type="pct"/>
            <w:tcBorders>
              <w:top w:val="nil"/>
              <w:left w:val="nil"/>
              <w:bottom w:val="single" w:sz="4" w:space="0" w:color="auto"/>
              <w:right w:val="single" w:sz="4" w:space="0" w:color="auto"/>
            </w:tcBorders>
            <w:shd w:val="clear" w:color="auto" w:fill="F2F2F2"/>
            <w:noWrap/>
            <w:vAlign w:val="center"/>
            <w:hideMark/>
          </w:tcPr>
          <w:p w14:paraId="2F0FEB6C" w14:textId="77777777" w:rsidR="00755C97" w:rsidRPr="005F2C03" w:rsidRDefault="00755C97">
            <w:pPr>
              <w:spacing w:line="276" w:lineRule="auto"/>
              <w:jc w:val="center"/>
              <w:rPr>
                <w:rFonts w:eastAsia="Calibri" w:cs="Arial"/>
                <w:kern w:val="2"/>
                <w14:ligatures w14:val="standardContextual"/>
              </w:rPr>
            </w:pPr>
            <w:r w:rsidRPr="005F2C03">
              <w:rPr>
                <w:rFonts w:cs="Arial"/>
              </w:rPr>
              <w:t>0.43</w:t>
            </w:r>
          </w:p>
        </w:tc>
      </w:tr>
      <w:tr w:rsidR="00755C97" w:rsidRPr="005F2C03" w14:paraId="437CC6DD"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AE26A3E"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LIBERTY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6B1298CC" w14:textId="77777777" w:rsidR="00755C97" w:rsidRPr="005F2C03" w:rsidRDefault="00755C97">
            <w:pPr>
              <w:spacing w:line="276" w:lineRule="auto"/>
              <w:jc w:val="center"/>
              <w:rPr>
                <w:rFonts w:eastAsia="Calibri" w:cs="Arial"/>
                <w:kern w:val="2"/>
                <w14:ligatures w14:val="standardContextual"/>
              </w:rPr>
            </w:pPr>
            <w:r w:rsidRPr="005F2C03">
              <w:rPr>
                <w:rFonts w:cs="Arial"/>
              </w:rPr>
              <w:t>0.21</w:t>
            </w:r>
          </w:p>
        </w:tc>
      </w:tr>
      <w:tr w:rsidR="00755C97" w:rsidRPr="005F2C03" w14:paraId="7C2BAFB9"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4E5F6C3"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MAPFRE SEGUROS GENERALES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25384E97" w14:textId="77777777" w:rsidR="00755C97" w:rsidRPr="005F2C03" w:rsidRDefault="00755C97">
            <w:pPr>
              <w:spacing w:line="276" w:lineRule="auto"/>
              <w:jc w:val="center"/>
              <w:rPr>
                <w:rFonts w:eastAsia="Calibri" w:cs="Arial"/>
                <w:kern w:val="2"/>
                <w14:ligatures w14:val="standardContextual"/>
              </w:rPr>
            </w:pPr>
            <w:r w:rsidRPr="005F2C03">
              <w:rPr>
                <w:rFonts w:cs="Arial"/>
              </w:rPr>
              <w:t>0.13</w:t>
            </w:r>
          </w:p>
        </w:tc>
      </w:tr>
      <w:tr w:rsidR="00755C97" w:rsidRPr="005F2C03" w14:paraId="2DA5459A"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3301473E"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POSITIVA COMPAÑÍA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5316D2E4"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0.20</w:t>
            </w:r>
          </w:p>
        </w:tc>
      </w:tr>
      <w:tr w:rsidR="00755C97" w:rsidRPr="005F2C03" w14:paraId="2BBC7468"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386BF771"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SBS SEGUROS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2100835E" w14:textId="77777777" w:rsidR="00755C97" w:rsidRPr="005F2C03" w:rsidRDefault="00755C97">
            <w:pPr>
              <w:spacing w:line="276" w:lineRule="auto"/>
              <w:jc w:val="center"/>
              <w:rPr>
                <w:rFonts w:eastAsia="Calibri" w:cs="Arial"/>
                <w:kern w:val="2"/>
                <w14:ligatures w14:val="standardContextual"/>
              </w:rPr>
            </w:pPr>
            <w:r w:rsidRPr="005F2C03">
              <w:rPr>
                <w:rFonts w:cs="Arial"/>
              </w:rPr>
              <w:t>0.39</w:t>
            </w:r>
          </w:p>
        </w:tc>
      </w:tr>
      <w:tr w:rsidR="00755C97" w:rsidRPr="005F2C03" w14:paraId="66EAD454"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7CA89A7"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DEL ESTADO S.A.</w:t>
            </w:r>
          </w:p>
        </w:tc>
        <w:tc>
          <w:tcPr>
            <w:tcW w:w="702" w:type="pct"/>
            <w:tcBorders>
              <w:top w:val="nil"/>
              <w:left w:val="nil"/>
              <w:bottom w:val="single" w:sz="4" w:space="0" w:color="auto"/>
              <w:right w:val="single" w:sz="4" w:space="0" w:color="auto"/>
            </w:tcBorders>
            <w:shd w:val="clear" w:color="auto" w:fill="F2F2F2"/>
            <w:noWrap/>
            <w:vAlign w:val="center"/>
            <w:hideMark/>
          </w:tcPr>
          <w:p w14:paraId="300FBDA3"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0.23</w:t>
            </w:r>
          </w:p>
        </w:tc>
      </w:tr>
      <w:tr w:rsidR="00755C97" w:rsidRPr="005F2C03" w14:paraId="238CF0DA"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59E08A9B"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GENERALES SURAMERICANA S.A.</w:t>
            </w:r>
          </w:p>
        </w:tc>
        <w:tc>
          <w:tcPr>
            <w:tcW w:w="702" w:type="pct"/>
            <w:tcBorders>
              <w:top w:val="nil"/>
              <w:left w:val="nil"/>
              <w:bottom w:val="single" w:sz="4" w:space="0" w:color="auto"/>
              <w:right w:val="single" w:sz="4" w:space="0" w:color="auto"/>
            </w:tcBorders>
            <w:shd w:val="clear" w:color="auto" w:fill="F2F2F2"/>
            <w:noWrap/>
            <w:vAlign w:val="center"/>
            <w:hideMark/>
          </w:tcPr>
          <w:p w14:paraId="16325253" w14:textId="77777777" w:rsidR="00755C97" w:rsidRPr="005F2C03" w:rsidRDefault="00755C97">
            <w:pPr>
              <w:spacing w:line="276" w:lineRule="auto"/>
              <w:jc w:val="center"/>
              <w:rPr>
                <w:rFonts w:eastAsia="Calibri" w:cs="Arial"/>
                <w:kern w:val="2"/>
                <w14:ligatures w14:val="standardContextual"/>
              </w:rPr>
            </w:pPr>
            <w:r w:rsidRPr="005F2C03">
              <w:rPr>
                <w:rFonts w:cs="Arial"/>
              </w:rPr>
              <w:t>0.25</w:t>
            </w:r>
          </w:p>
        </w:tc>
      </w:tr>
      <w:tr w:rsidR="00755C97" w:rsidRPr="005F2C03" w14:paraId="17182077"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100A599"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ZURICH COLOMBIA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40DDC695"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0.14</w:t>
            </w:r>
          </w:p>
        </w:tc>
      </w:tr>
    </w:tbl>
    <w:p w14:paraId="13A24302" w14:textId="77777777" w:rsidR="00755C97" w:rsidRPr="005F2C03" w:rsidRDefault="00755C97" w:rsidP="00755C97">
      <w:pPr>
        <w:spacing w:line="240" w:lineRule="atLeast"/>
        <w:jc w:val="center"/>
        <w:rPr>
          <w:rFonts w:eastAsia="Times New Roman" w:cs="Arial"/>
          <w:sz w:val="18"/>
          <w:szCs w:val="18"/>
          <w:lang w:eastAsia="es-ES_tradnl"/>
        </w:rPr>
      </w:pPr>
      <w:r w:rsidRPr="005F2C03">
        <w:rPr>
          <w:rFonts w:cs="Arial"/>
          <w:sz w:val="18"/>
          <w:szCs w:val="18"/>
        </w:rPr>
        <w:t>Fuente: Información tomada del RUP de cada aseguradora que participa en los procesos de contratación estatal con firmeza 2023</w:t>
      </w:r>
    </w:p>
    <w:p w14:paraId="52F16C08" w14:textId="77777777" w:rsidR="00755C97" w:rsidRPr="005F2C03" w:rsidRDefault="00755C97" w:rsidP="00755C97">
      <w:pPr>
        <w:spacing w:line="240" w:lineRule="atLeast"/>
        <w:jc w:val="center"/>
        <w:rPr>
          <w:rFonts w:cs="Arial"/>
        </w:rPr>
      </w:pPr>
    </w:p>
    <w:p w14:paraId="12CA539D" w14:textId="77777777" w:rsidR="00755C97" w:rsidRPr="005F2C03" w:rsidRDefault="00755C97" w:rsidP="00755C97">
      <w:pPr>
        <w:spacing w:line="240" w:lineRule="atLeast"/>
        <w:jc w:val="both"/>
        <w:rPr>
          <w:rFonts w:eastAsia="Batang" w:cs="Arial"/>
        </w:rPr>
      </w:pPr>
      <w:r w:rsidRPr="005F2C03">
        <w:rPr>
          <w:rFonts w:eastAsia="Batang" w:cs="Arial"/>
        </w:rPr>
        <w:t xml:space="preserve">La fórmula de cálculo es: </w:t>
      </w:r>
      <w:r w:rsidRPr="005F2C03">
        <w:rPr>
          <w:rFonts w:eastAsia="Batang" w:cs="Arial"/>
          <w:u w:val="single"/>
        </w:rPr>
        <w:t>(Utilidad Operacional/Patrimonio)</w:t>
      </w:r>
      <w:r w:rsidRPr="005F2C03">
        <w:rPr>
          <w:rFonts w:eastAsia="Batang" w:cs="Arial"/>
        </w:rPr>
        <w:t xml:space="preserve"> </w:t>
      </w:r>
    </w:p>
    <w:p w14:paraId="76F6664E" w14:textId="77777777" w:rsidR="00755C97" w:rsidRPr="005F2C03" w:rsidRDefault="00755C97" w:rsidP="00755C97">
      <w:pPr>
        <w:tabs>
          <w:tab w:val="left" w:pos="567"/>
        </w:tabs>
        <w:spacing w:line="240" w:lineRule="atLeast"/>
        <w:ind w:right="-79"/>
        <w:jc w:val="both"/>
        <w:rPr>
          <w:rFonts w:eastAsia="Times New Roman" w:cs="Arial"/>
        </w:rPr>
      </w:pPr>
    </w:p>
    <w:p w14:paraId="65BFA7FC" w14:textId="77777777" w:rsidR="00755C97" w:rsidRPr="005F2C03" w:rsidRDefault="00755C97" w:rsidP="00755C97">
      <w:pPr>
        <w:tabs>
          <w:tab w:val="left" w:pos="567"/>
        </w:tabs>
        <w:spacing w:line="240" w:lineRule="atLeast"/>
        <w:ind w:right="-79"/>
        <w:jc w:val="both"/>
        <w:rPr>
          <w:rFonts w:cs="Arial"/>
        </w:rPr>
      </w:pPr>
      <w:r w:rsidRPr="005F2C03">
        <w:rPr>
          <w:rFonts w:cs="Arial"/>
        </w:rPr>
        <w:t>La rentabilidad del patrimonio hace referencia a la capacidad de generación de utilidad operacional por cada peso invertido en el patrimonio. A mayor rentabilidad sobre el patrimonio, mayor es la rentabilidad de los accionistas y mejorar la capacidad organizacional del proponente.</w:t>
      </w:r>
    </w:p>
    <w:p w14:paraId="049C4CE3" w14:textId="77777777" w:rsidR="00755C97" w:rsidRPr="005F2C03" w:rsidRDefault="00755C97" w:rsidP="00755C97">
      <w:pPr>
        <w:tabs>
          <w:tab w:val="left" w:pos="567"/>
        </w:tabs>
        <w:spacing w:line="240" w:lineRule="atLeast"/>
        <w:ind w:right="-79"/>
        <w:jc w:val="both"/>
        <w:rPr>
          <w:rFonts w:cs="Arial"/>
        </w:rPr>
      </w:pPr>
    </w:p>
    <w:p w14:paraId="7B3E47E0" w14:textId="02E6A587" w:rsidR="00755C97" w:rsidRPr="005F2C03" w:rsidRDefault="00755C97" w:rsidP="00755C97">
      <w:pPr>
        <w:tabs>
          <w:tab w:val="left" w:pos="567"/>
        </w:tabs>
        <w:spacing w:line="240" w:lineRule="atLeast"/>
        <w:ind w:right="-79"/>
        <w:jc w:val="both"/>
        <w:rPr>
          <w:rFonts w:cs="Arial"/>
        </w:rPr>
      </w:pPr>
      <w:r w:rsidRPr="005F2C03">
        <w:rPr>
          <w:rFonts w:cs="Arial"/>
        </w:rPr>
        <w:t xml:space="preserve">Así las cosas, se determina un </w:t>
      </w:r>
      <w:r w:rsidRPr="005F2C03">
        <w:rPr>
          <w:rFonts w:cs="Arial"/>
          <w:b/>
          <w:bCs/>
          <w:u w:val="single"/>
        </w:rPr>
        <w:t>índice de rentabilidad del patrimonio</w:t>
      </w:r>
      <w:r w:rsidRPr="005F2C03">
        <w:rPr>
          <w:rFonts w:cs="Arial"/>
          <w:u w:val="single"/>
        </w:rPr>
        <w:t xml:space="preserve"> </w:t>
      </w:r>
      <w:r w:rsidRPr="005F2C03">
        <w:rPr>
          <w:rFonts w:cs="Arial"/>
          <w:b/>
          <w:bCs/>
          <w:u w:val="single"/>
        </w:rPr>
        <w:t>mayor o igual a 0.0</w:t>
      </w:r>
      <w:r w:rsidR="00631DE0" w:rsidRPr="005F2C03">
        <w:rPr>
          <w:rFonts w:cs="Arial"/>
          <w:b/>
          <w:bCs/>
          <w:u w:val="single"/>
        </w:rPr>
        <w:t>4</w:t>
      </w:r>
      <w:r w:rsidRPr="005F2C03">
        <w:rPr>
          <w:rFonts w:cs="Arial"/>
          <w:u w:val="single"/>
        </w:rPr>
        <w:t xml:space="preserve">, </w:t>
      </w:r>
      <w:r w:rsidRPr="005F2C03">
        <w:rPr>
          <w:rFonts w:cs="Arial"/>
        </w:rPr>
        <w:t>para garantizar el principio de la libre concurrencia.</w:t>
      </w:r>
    </w:p>
    <w:p w14:paraId="1F584B0C" w14:textId="77777777" w:rsidR="00755C97" w:rsidRPr="005F2C03" w:rsidRDefault="00755C97" w:rsidP="00755C97">
      <w:pPr>
        <w:tabs>
          <w:tab w:val="left" w:pos="567"/>
        </w:tabs>
        <w:spacing w:line="240" w:lineRule="atLeast"/>
        <w:ind w:right="-79"/>
        <w:jc w:val="both"/>
        <w:rPr>
          <w:rFonts w:cs="Arial"/>
        </w:rPr>
      </w:pPr>
    </w:p>
    <w:p w14:paraId="1943C9C7" w14:textId="77777777" w:rsidR="00755C97" w:rsidRPr="005F2C03" w:rsidRDefault="00755C97">
      <w:pPr>
        <w:pStyle w:val="Sinespaciado3"/>
        <w:numPr>
          <w:ilvl w:val="0"/>
          <w:numId w:val="14"/>
        </w:numPr>
        <w:spacing w:line="240" w:lineRule="atLeast"/>
        <w:ind w:right="51"/>
        <w:jc w:val="both"/>
        <w:rPr>
          <w:rFonts w:ascii="Arial Narrow" w:hAnsi="Arial Narrow" w:cs="Arial"/>
          <w:b/>
          <w:bCs/>
          <w:lang w:val="es-CO"/>
        </w:rPr>
      </w:pPr>
      <w:r w:rsidRPr="005F2C03">
        <w:rPr>
          <w:rFonts w:ascii="Arial Narrow" w:hAnsi="Arial Narrow" w:cs="Arial"/>
          <w:b/>
          <w:bCs/>
          <w:lang w:val="es-CO"/>
        </w:rPr>
        <w:t>Rentabilidad del activo</w:t>
      </w:r>
    </w:p>
    <w:p w14:paraId="58A09688" w14:textId="77777777" w:rsidR="00755C97" w:rsidRPr="005F2C03" w:rsidRDefault="00755C97" w:rsidP="00755C97">
      <w:pPr>
        <w:tabs>
          <w:tab w:val="left" w:pos="567"/>
        </w:tabs>
        <w:spacing w:line="240" w:lineRule="atLeast"/>
        <w:ind w:right="-79"/>
        <w:jc w:val="both"/>
        <w:rPr>
          <w:rFonts w:cs="Arial"/>
          <w:u w:val="single"/>
        </w:rPr>
      </w:pPr>
    </w:p>
    <w:tbl>
      <w:tblPr>
        <w:tblW w:w="3750" w:type="pct"/>
        <w:jc w:val="center"/>
        <w:tblCellMar>
          <w:left w:w="70" w:type="dxa"/>
          <w:right w:w="70" w:type="dxa"/>
        </w:tblCellMar>
        <w:tblLook w:val="04A0" w:firstRow="1" w:lastRow="0" w:firstColumn="1" w:lastColumn="0" w:noHBand="0" w:noVBand="1"/>
      </w:tblPr>
      <w:tblGrid>
        <w:gridCol w:w="5691"/>
        <w:gridCol w:w="930"/>
      </w:tblGrid>
      <w:tr w:rsidR="00755C97" w:rsidRPr="005F2C03" w14:paraId="757EE361" w14:textId="77777777" w:rsidTr="00755C97">
        <w:trPr>
          <w:trHeight w:val="276"/>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F4761"/>
            <w:vAlign w:val="center"/>
            <w:hideMark/>
          </w:tcPr>
          <w:p w14:paraId="23BBC4F0" w14:textId="77777777" w:rsidR="00755C97" w:rsidRPr="005F2C03" w:rsidRDefault="00755C97">
            <w:pPr>
              <w:spacing w:line="276" w:lineRule="auto"/>
              <w:jc w:val="center"/>
              <w:rPr>
                <w:rFonts w:eastAsia="Calibri" w:cs="Arial"/>
                <w:b/>
                <w:bCs/>
                <w:kern w:val="2"/>
                <w:lang w:eastAsia="es-ES"/>
                <w14:ligatures w14:val="standardContextual"/>
              </w:rPr>
            </w:pPr>
            <w:r w:rsidRPr="005F2C03">
              <w:rPr>
                <w:rFonts w:eastAsia="Calibri" w:cs="Arial"/>
                <w:b/>
                <w:bCs/>
                <w:color w:val="FFFFFF"/>
                <w:kern w:val="2"/>
                <w14:ligatures w14:val="standardContextual"/>
              </w:rPr>
              <w:t>RENTABILIDAD DEL ACTIVO</w:t>
            </w:r>
          </w:p>
        </w:tc>
      </w:tr>
      <w:tr w:rsidR="00755C97" w:rsidRPr="005F2C03" w14:paraId="0D850192"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83CAEB"/>
            <w:vAlign w:val="center"/>
            <w:hideMark/>
          </w:tcPr>
          <w:p w14:paraId="1FE60949" w14:textId="77777777" w:rsidR="00755C97" w:rsidRPr="005F2C03" w:rsidRDefault="00755C97">
            <w:pPr>
              <w:spacing w:line="276" w:lineRule="auto"/>
              <w:jc w:val="both"/>
              <w:rPr>
                <w:rFonts w:eastAsia="Calibri" w:cs="Arial"/>
                <w:b/>
                <w:bCs/>
                <w:kern w:val="2"/>
                <w:lang w:eastAsia="es-ES_tradnl"/>
                <w14:ligatures w14:val="standardContextual"/>
              </w:rPr>
            </w:pPr>
            <w:r w:rsidRPr="005F2C03">
              <w:rPr>
                <w:rFonts w:eastAsia="Calibri" w:cs="Arial"/>
                <w:b/>
                <w:bCs/>
                <w:kern w:val="2"/>
                <w14:ligatures w14:val="standardContextual"/>
              </w:rPr>
              <w:t>ASEGURADORA / AÑO</w:t>
            </w:r>
          </w:p>
        </w:tc>
        <w:tc>
          <w:tcPr>
            <w:tcW w:w="702" w:type="pct"/>
            <w:tcBorders>
              <w:top w:val="nil"/>
              <w:left w:val="nil"/>
              <w:bottom w:val="single" w:sz="4" w:space="0" w:color="auto"/>
              <w:right w:val="single" w:sz="4" w:space="0" w:color="auto"/>
            </w:tcBorders>
            <w:shd w:val="clear" w:color="auto" w:fill="83CAEB"/>
            <w:vAlign w:val="center"/>
            <w:hideMark/>
          </w:tcPr>
          <w:p w14:paraId="56FEF189" w14:textId="77777777" w:rsidR="00755C97" w:rsidRPr="005F2C03" w:rsidRDefault="00755C97">
            <w:pPr>
              <w:spacing w:line="276" w:lineRule="auto"/>
              <w:jc w:val="center"/>
              <w:rPr>
                <w:rFonts w:eastAsia="Calibri" w:cs="Arial"/>
                <w:b/>
                <w:bCs/>
                <w:kern w:val="2"/>
                <w14:ligatures w14:val="standardContextual"/>
              </w:rPr>
            </w:pPr>
            <w:r w:rsidRPr="005F2C03">
              <w:rPr>
                <w:rFonts w:eastAsia="Calibri" w:cs="Arial"/>
                <w:b/>
                <w:bCs/>
                <w:kern w:val="2"/>
                <w14:ligatures w14:val="standardContextual"/>
              </w:rPr>
              <w:t>2023</w:t>
            </w:r>
          </w:p>
        </w:tc>
      </w:tr>
      <w:tr w:rsidR="00755C97" w:rsidRPr="005F2C03" w14:paraId="312F07F3"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299E7A0"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 xml:space="preserve">ALLIANZ SEGUROS S.A. </w:t>
            </w:r>
          </w:p>
        </w:tc>
        <w:tc>
          <w:tcPr>
            <w:tcW w:w="702" w:type="pct"/>
            <w:tcBorders>
              <w:top w:val="nil"/>
              <w:left w:val="nil"/>
              <w:bottom w:val="single" w:sz="4" w:space="0" w:color="auto"/>
              <w:right w:val="single" w:sz="4" w:space="0" w:color="auto"/>
            </w:tcBorders>
            <w:shd w:val="clear" w:color="auto" w:fill="F2F2F2"/>
            <w:noWrap/>
            <w:vAlign w:val="center"/>
            <w:hideMark/>
          </w:tcPr>
          <w:p w14:paraId="2557B7B3"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0.04</w:t>
            </w:r>
          </w:p>
        </w:tc>
      </w:tr>
      <w:tr w:rsidR="00755C97" w:rsidRPr="005F2C03" w14:paraId="6A3AFCA1"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450B869"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ASEGURADORA SOLIDARIA DE COLOMBIA E.C.</w:t>
            </w:r>
          </w:p>
        </w:tc>
        <w:tc>
          <w:tcPr>
            <w:tcW w:w="702" w:type="pct"/>
            <w:tcBorders>
              <w:top w:val="nil"/>
              <w:left w:val="nil"/>
              <w:bottom w:val="single" w:sz="4" w:space="0" w:color="auto"/>
              <w:right w:val="single" w:sz="4" w:space="0" w:color="auto"/>
            </w:tcBorders>
            <w:shd w:val="clear" w:color="auto" w:fill="F2F2F2"/>
            <w:noWrap/>
            <w:vAlign w:val="center"/>
            <w:hideMark/>
          </w:tcPr>
          <w:p w14:paraId="57BF8AC1" w14:textId="77777777" w:rsidR="00755C97" w:rsidRPr="005F2C03" w:rsidRDefault="00755C97">
            <w:pPr>
              <w:spacing w:line="276" w:lineRule="auto"/>
              <w:jc w:val="center"/>
              <w:rPr>
                <w:rFonts w:eastAsia="Calibri" w:cs="Arial"/>
                <w:kern w:val="2"/>
                <w14:ligatures w14:val="standardContextual"/>
              </w:rPr>
            </w:pPr>
            <w:r w:rsidRPr="005F2C03">
              <w:rPr>
                <w:rFonts w:cs="Arial"/>
              </w:rPr>
              <w:t>0.07</w:t>
            </w:r>
          </w:p>
        </w:tc>
      </w:tr>
      <w:tr w:rsidR="00755C97" w:rsidRPr="005F2C03" w14:paraId="1AECDB68"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3FAA99E"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lastRenderedPageBreak/>
              <w:t>AXA COLPATRIA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7249F946" w14:textId="77777777" w:rsidR="00755C97" w:rsidRPr="005F2C03" w:rsidRDefault="00755C97">
            <w:pPr>
              <w:spacing w:line="276" w:lineRule="auto"/>
              <w:jc w:val="center"/>
              <w:rPr>
                <w:rFonts w:eastAsia="Calibri" w:cs="Arial"/>
                <w:kern w:val="2"/>
                <w14:ligatures w14:val="standardContextual"/>
              </w:rPr>
            </w:pPr>
            <w:r w:rsidRPr="005F2C03">
              <w:rPr>
                <w:rFonts w:cs="Arial"/>
              </w:rPr>
              <w:t>0.03</w:t>
            </w:r>
          </w:p>
        </w:tc>
      </w:tr>
      <w:tr w:rsidR="00755C97" w:rsidRPr="005F2C03" w14:paraId="7DBFD3CB"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BA9EAB1"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CHUBB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109D4DD6" w14:textId="77777777" w:rsidR="00755C97" w:rsidRPr="005F2C03" w:rsidRDefault="00755C97">
            <w:pPr>
              <w:spacing w:line="276" w:lineRule="auto"/>
              <w:jc w:val="center"/>
              <w:rPr>
                <w:rFonts w:eastAsia="Calibri" w:cs="Arial"/>
                <w:kern w:val="2"/>
                <w14:ligatures w14:val="standardContextual"/>
              </w:rPr>
            </w:pPr>
            <w:r w:rsidRPr="005F2C03">
              <w:rPr>
                <w:rFonts w:cs="Arial"/>
              </w:rPr>
              <w:t>0.05</w:t>
            </w:r>
          </w:p>
        </w:tc>
      </w:tr>
      <w:tr w:rsidR="00755C97" w:rsidRPr="005F2C03" w14:paraId="358FACD5"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32D16C5"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COMPAÑÍA MUNDIAL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33CF5F81" w14:textId="77777777" w:rsidR="00755C97" w:rsidRPr="005F2C03" w:rsidRDefault="00755C97">
            <w:pPr>
              <w:spacing w:line="276" w:lineRule="auto"/>
              <w:jc w:val="center"/>
              <w:rPr>
                <w:rFonts w:eastAsia="Calibri" w:cs="Arial"/>
                <w:kern w:val="2"/>
                <w14:ligatures w14:val="standardContextual"/>
              </w:rPr>
            </w:pPr>
            <w:r w:rsidRPr="005F2C03">
              <w:rPr>
                <w:rFonts w:cs="Arial"/>
              </w:rPr>
              <w:t>0.04</w:t>
            </w:r>
          </w:p>
        </w:tc>
      </w:tr>
      <w:tr w:rsidR="00755C97" w:rsidRPr="005F2C03" w14:paraId="35CBF6F0"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3E64077"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HDI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13441450" w14:textId="77777777" w:rsidR="00755C97" w:rsidRPr="005F2C03" w:rsidRDefault="00755C97">
            <w:pPr>
              <w:spacing w:line="276" w:lineRule="auto"/>
              <w:jc w:val="center"/>
              <w:rPr>
                <w:rFonts w:eastAsia="Calibri" w:cs="Arial"/>
                <w:kern w:val="2"/>
                <w14:ligatures w14:val="standardContextual"/>
              </w:rPr>
            </w:pPr>
            <w:r w:rsidRPr="005F2C03">
              <w:rPr>
                <w:rFonts w:cs="Arial"/>
              </w:rPr>
              <w:t>0.00</w:t>
            </w:r>
          </w:p>
        </w:tc>
      </w:tr>
      <w:tr w:rsidR="00755C97" w:rsidRPr="005F2C03" w14:paraId="297CD8DC"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6CCD1FAA"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LA EQUIDAD SEGUROS GENERALES O.C.</w:t>
            </w:r>
          </w:p>
        </w:tc>
        <w:tc>
          <w:tcPr>
            <w:tcW w:w="702" w:type="pct"/>
            <w:tcBorders>
              <w:top w:val="nil"/>
              <w:left w:val="nil"/>
              <w:bottom w:val="single" w:sz="4" w:space="0" w:color="auto"/>
              <w:right w:val="single" w:sz="4" w:space="0" w:color="auto"/>
            </w:tcBorders>
            <w:shd w:val="clear" w:color="auto" w:fill="F2F2F2"/>
            <w:noWrap/>
            <w:vAlign w:val="center"/>
            <w:hideMark/>
          </w:tcPr>
          <w:p w14:paraId="1444ABBB"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0.00</w:t>
            </w:r>
          </w:p>
        </w:tc>
      </w:tr>
      <w:tr w:rsidR="00755C97" w:rsidRPr="005F2C03" w14:paraId="0D045EDF"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3598450B"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LA PREVISORA S.A. COMPAÑÍA DE SEGUROS</w:t>
            </w:r>
          </w:p>
        </w:tc>
        <w:tc>
          <w:tcPr>
            <w:tcW w:w="702" w:type="pct"/>
            <w:tcBorders>
              <w:top w:val="nil"/>
              <w:left w:val="nil"/>
              <w:bottom w:val="single" w:sz="4" w:space="0" w:color="auto"/>
              <w:right w:val="single" w:sz="4" w:space="0" w:color="auto"/>
            </w:tcBorders>
            <w:shd w:val="clear" w:color="auto" w:fill="F2F2F2"/>
            <w:noWrap/>
            <w:vAlign w:val="center"/>
            <w:hideMark/>
          </w:tcPr>
          <w:p w14:paraId="2D9D77A9" w14:textId="77777777" w:rsidR="00755C97" w:rsidRPr="005F2C03" w:rsidRDefault="00755C97">
            <w:pPr>
              <w:spacing w:line="276" w:lineRule="auto"/>
              <w:jc w:val="center"/>
              <w:rPr>
                <w:rFonts w:eastAsia="Calibri" w:cs="Arial"/>
                <w:kern w:val="2"/>
                <w14:ligatures w14:val="standardContextual"/>
              </w:rPr>
            </w:pPr>
            <w:r w:rsidRPr="005F2C03">
              <w:rPr>
                <w:rFonts w:cs="Arial"/>
              </w:rPr>
              <w:t>0.06</w:t>
            </w:r>
          </w:p>
        </w:tc>
      </w:tr>
      <w:tr w:rsidR="00755C97" w:rsidRPr="005F2C03" w14:paraId="25E2FB6E"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7BB847A2"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LIBERTY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67A0FBA6" w14:textId="77777777" w:rsidR="00755C97" w:rsidRPr="005F2C03" w:rsidRDefault="00755C97">
            <w:pPr>
              <w:spacing w:line="276" w:lineRule="auto"/>
              <w:jc w:val="center"/>
              <w:rPr>
                <w:rFonts w:eastAsia="Calibri" w:cs="Arial"/>
                <w:kern w:val="2"/>
                <w14:ligatures w14:val="standardContextual"/>
              </w:rPr>
            </w:pPr>
            <w:r w:rsidRPr="005F2C03">
              <w:rPr>
                <w:rFonts w:cs="Arial"/>
              </w:rPr>
              <w:t>0.04</w:t>
            </w:r>
          </w:p>
        </w:tc>
      </w:tr>
      <w:tr w:rsidR="00755C97" w:rsidRPr="005F2C03" w14:paraId="63FC22CC"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FD46290"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MAPFRE SEGUROS GENERALES DE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61D5D93F" w14:textId="77777777" w:rsidR="00755C97" w:rsidRPr="005F2C03" w:rsidRDefault="00755C97">
            <w:pPr>
              <w:spacing w:line="276" w:lineRule="auto"/>
              <w:jc w:val="center"/>
              <w:rPr>
                <w:rFonts w:eastAsia="Calibri" w:cs="Arial"/>
                <w:kern w:val="2"/>
                <w14:ligatures w14:val="standardContextual"/>
              </w:rPr>
            </w:pPr>
            <w:r w:rsidRPr="005F2C03">
              <w:rPr>
                <w:rFonts w:cs="Arial"/>
              </w:rPr>
              <w:t>0.01</w:t>
            </w:r>
          </w:p>
        </w:tc>
      </w:tr>
      <w:tr w:rsidR="00755C97" w:rsidRPr="005F2C03" w14:paraId="286A028C"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5ACFCEF0"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bCs/>
                <w:kern w:val="2"/>
                <w14:ligatures w14:val="standardContextual"/>
              </w:rPr>
              <w:t>POSITIVA COMPAÑÍA DE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7142BD6D"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0.03</w:t>
            </w:r>
          </w:p>
        </w:tc>
      </w:tr>
      <w:tr w:rsidR="00755C97" w:rsidRPr="005F2C03" w14:paraId="217471A3"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5F089C2"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SBS SEGUROS COLOMBIA S.A.</w:t>
            </w:r>
          </w:p>
        </w:tc>
        <w:tc>
          <w:tcPr>
            <w:tcW w:w="702" w:type="pct"/>
            <w:tcBorders>
              <w:top w:val="nil"/>
              <w:left w:val="nil"/>
              <w:bottom w:val="single" w:sz="4" w:space="0" w:color="auto"/>
              <w:right w:val="single" w:sz="4" w:space="0" w:color="auto"/>
            </w:tcBorders>
            <w:shd w:val="clear" w:color="auto" w:fill="F2F2F2"/>
            <w:noWrap/>
            <w:vAlign w:val="center"/>
            <w:hideMark/>
          </w:tcPr>
          <w:p w14:paraId="77E1833B" w14:textId="77777777" w:rsidR="00755C97" w:rsidRPr="005F2C03" w:rsidRDefault="00755C97">
            <w:pPr>
              <w:spacing w:line="276" w:lineRule="auto"/>
              <w:jc w:val="center"/>
              <w:rPr>
                <w:rFonts w:eastAsia="Calibri" w:cs="Arial"/>
                <w:kern w:val="2"/>
                <w14:ligatures w14:val="standardContextual"/>
              </w:rPr>
            </w:pPr>
            <w:r w:rsidRPr="005F2C03">
              <w:rPr>
                <w:rFonts w:cs="Arial"/>
              </w:rPr>
              <w:t>0.06</w:t>
            </w:r>
          </w:p>
        </w:tc>
      </w:tr>
      <w:tr w:rsidR="00755C97" w:rsidRPr="005F2C03" w14:paraId="3A6EAEC9"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0B382FCB"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DEL ESTADO S.A.</w:t>
            </w:r>
          </w:p>
        </w:tc>
        <w:tc>
          <w:tcPr>
            <w:tcW w:w="702" w:type="pct"/>
            <w:tcBorders>
              <w:top w:val="nil"/>
              <w:left w:val="nil"/>
              <w:bottom w:val="single" w:sz="4" w:space="0" w:color="auto"/>
              <w:right w:val="single" w:sz="4" w:space="0" w:color="auto"/>
            </w:tcBorders>
            <w:shd w:val="clear" w:color="auto" w:fill="F2F2F2"/>
            <w:noWrap/>
            <w:vAlign w:val="center"/>
            <w:hideMark/>
          </w:tcPr>
          <w:p w14:paraId="058E2D5B"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0.03</w:t>
            </w:r>
          </w:p>
        </w:tc>
      </w:tr>
      <w:tr w:rsidR="00755C97" w:rsidRPr="005F2C03" w14:paraId="6C698F3F"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43342DBC"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SEGUROS GENERALES SURAMERICANA S.A.</w:t>
            </w:r>
          </w:p>
        </w:tc>
        <w:tc>
          <w:tcPr>
            <w:tcW w:w="702" w:type="pct"/>
            <w:tcBorders>
              <w:top w:val="nil"/>
              <w:left w:val="nil"/>
              <w:bottom w:val="single" w:sz="4" w:space="0" w:color="auto"/>
              <w:right w:val="single" w:sz="4" w:space="0" w:color="auto"/>
            </w:tcBorders>
            <w:shd w:val="clear" w:color="auto" w:fill="F2F2F2"/>
            <w:noWrap/>
            <w:vAlign w:val="center"/>
            <w:hideMark/>
          </w:tcPr>
          <w:p w14:paraId="43CB6189" w14:textId="77777777" w:rsidR="00755C97" w:rsidRPr="005F2C03" w:rsidRDefault="00755C97">
            <w:pPr>
              <w:spacing w:line="276" w:lineRule="auto"/>
              <w:jc w:val="center"/>
              <w:rPr>
                <w:rFonts w:eastAsia="Calibri" w:cs="Arial"/>
                <w:kern w:val="2"/>
                <w14:ligatures w14:val="standardContextual"/>
              </w:rPr>
            </w:pPr>
            <w:r w:rsidRPr="005F2C03">
              <w:rPr>
                <w:rFonts w:cs="Arial"/>
              </w:rPr>
              <w:t>0.04</w:t>
            </w:r>
          </w:p>
        </w:tc>
      </w:tr>
      <w:tr w:rsidR="00755C97" w:rsidRPr="005F2C03" w14:paraId="5EA1DAF3" w14:textId="77777777" w:rsidTr="00755C97">
        <w:trPr>
          <w:trHeight w:val="276"/>
          <w:jc w:val="center"/>
        </w:trPr>
        <w:tc>
          <w:tcPr>
            <w:tcW w:w="4298" w:type="pct"/>
            <w:tcBorders>
              <w:top w:val="nil"/>
              <w:left w:val="single" w:sz="4" w:space="0" w:color="auto"/>
              <w:bottom w:val="single" w:sz="4" w:space="0" w:color="auto"/>
              <w:right w:val="single" w:sz="4" w:space="0" w:color="auto"/>
            </w:tcBorders>
            <w:shd w:val="clear" w:color="auto" w:fill="F2F2F2"/>
            <w:noWrap/>
            <w:vAlign w:val="center"/>
            <w:hideMark/>
          </w:tcPr>
          <w:p w14:paraId="28A952DB" w14:textId="77777777" w:rsidR="00755C97" w:rsidRPr="005F2C03" w:rsidRDefault="00755C97">
            <w:pPr>
              <w:spacing w:line="276" w:lineRule="auto"/>
              <w:jc w:val="both"/>
              <w:rPr>
                <w:rFonts w:eastAsia="Calibri" w:cs="Arial"/>
                <w:kern w:val="2"/>
                <w14:ligatures w14:val="standardContextual"/>
              </w:rPr>
            </w:pPr>
            <w:r w:rsidRPr="005F2C03">
              <w:rPr>
                <w:rFonts w:eastAsia="Calibri" w:cs="Arial"/>
                <w:kern w:val="2"/>
                <w14:ligatures w14:val="standardContextual"/>
              </w:rPr>
              <w:t>ZURICH COLOMBIA SEGUROS S.A.</w:t>
            </w:r>
          </w:p>
        </w:tc>
        <w:tc>
          <w:tcPr>
            <w:tcW w:w="702" w:type="pct"/>
            <w:tcBorders>
              <w:top w:val="nil"/>
              <w:left w:val="nil"/>
              <w:bottom w:val="single" w:sz="4" w:space="0" w:color="auto"/>
              <w:right w:val="single" w:sz="4" w:space="0" w:color="auto"/>
            </w:tcBorders>
            <w:shd w:val="clear" w:color="auto" w:fill="F2F2F2"/>
            <w:noWrap/>
            <w:vAlign w:val="center"/>
            <w:hideMark/>
          </w:tcPr>
          <w:p w14:paraId="02DC75DA" w14:textId="77777777" w:rsidR="00755C97" w:rsidRPr="005F2C03" w:rsidRDefault="00755C97">
            <w:pPr>
              <w:spacing w:line="276" w:lineRule="auto"/>
              <w:jc w:val="center"/>
              <w:rPr>
                <w:rFonts w:eastAsia="Calibri" w:cs="Arial"/>
                <w:kern w:val="2"/>
                <w14:ligatures w14:val="standardContextual"/>
              </w:rPr>
            </w:pPr>
            <w:r w:rsidRPr="005F2C03">
              <w:rPr>
                <w:rFonts w:eastAsia="Calibri" w:cs="Arial"/>
                <w:kern w:val="2"/>
                <w14:ligatures w14:val="standardContextual"/>
              </w:rPr>
              <w:t>0.02</w:t>
            </w:r>
          </w:p>
        </w:tc>
      </w:tr>
    </w:tbl>
    <w:p w14:paraId="0259834F" w14:textId="77777777" w:rsidR="00755C97" w:rsidRPr="005F2C03" w:rsidRDefault="00755C97" w:rsidP="00755C97">
      <w:pPr>
        <w:spacing w:line="240" w:lineRule="atLeast"/>
        <w:jc w:val="center"/>
        <w:rPr>
          <w:rFonts w:eastAsia="Times New Roman" w:cs="Arial"/>
          <w:sz w:val="18"/>
          <w:szCs w:val="18"/>
          <w:lang w:eastAsia="es-ES_tradnl"/>
        </w:rPr>
      </w:pPr>
      <w:r w:rsidRPr="005F2C03">
        <w:rPr>
          <w:rFonts w:cs="Arial"/>
          <w:sz w:val="18"/>
          <w:szCs w:val="18"/>
        </w:rPr>
        <w:t>Fuente: Información tomada del RUP de cada aseguradora que participa en los procesos de contratación estatal con firmeza 2023</w:t>
      </w:r>
    </w:p>
    <w:p w14:paraId="3F0F2ED0" w14:textId="77777777" w:rsidR="00755C97" w:rsidRPr="005F2C03" w:rsidRDefault="00755C97" w:rsidP="00755C97">
      <w:pPr>
        <w:spacing w:line="240" w:lineRule="atLeast"/>
        <w:jc w:val="center"/>
        <w:rPr>
          <w:rFonts w:cs="Arial"/>
          <w:sz w:val="18"/>
          <w:szCs w:val="18"/>
        </w:rPr>
      </w:pPr>
    </w:p>
    <w:p w14:paraId="4483B57C" w14:textId="77777777" w:rsidR="00755C97" w:rsidRPr="005F2C03" w:rsidRDefault="00755C97" w:rsidP="00755C97">
      <w:pPr>
        <w:tabs>
          <w:tab w:val="left" w:pos="567"/>
        </w:tabs>
        <w:spacing w:line="240" w:lineRule="atLeast"/>
        <w:ind w:right="-79"/>
        <w:jc w:val="both"/>
        <w:rPr>
          <w:rFonts w:eastAsia="Batang" w:cs="Arial"/>
        </w:rPr>
      </w:pPr>
      <w:r w:rsidRPr="005F2C03">
        <w:rPr>
          <w:rFonts w:eastAsia="Batang" w:cs="Arial"/>
        </w:rPr>
        <w:t xml:space="preserve">La fórmula de cálculo es: </w:t>
      </w:r>
      <w:r w:rsidRPr="005F2C03">
        <w:rPr>
          <w:rFonts w:eastAsia="Batang" w:cs="Arial"/>
          <w:u w:val="single"/>
        </w:rPr>
        <w:t>(</w:t>
      </w:r>
      <w:r w:rsidRPr="005F2C03">
        <w:rPr>
          <w:rFonts w:cs="Arial"/>
        </w:rPr>
        <w:t>Utilidad Operacional/Activo Total</w:t>
      </w:r>
      <w:r w:rsidRPr="005F2C03">
        <w:rPr>
          <w:rFonts w:eastAsia="Batang" w:cs="Arial"/>
          <w:u w:val="single"/>
        </w:rPr>
        <w:t>)</w:t>
      </w:r>
      <w:r w:rsidRPr="005F2C03">
        <w:rPr>
          <w:rFonts w:eastAsia="Batang" w:cs="Arial"/>
        </w:rPr>
        <w:t xml:space="preserve"> </w:t>
      </w:r>
    </w:p>
    <w:p w14:paraId="0BD63150" w14:textId="77777777" w:rsidR="00755C97" w:rsidRPr="005F2C03" w:rsidRDefault="00755C97" w:rsidP="00755C97">
      <w:pPr>
        <w:tabs>
          <w:tab w:val="left" w:pos="567"/>
        </w:tabs>
        <w:spacing w:line="240" w:lineRule="atLeast"/>
        <w:ind w:right="-79"/>
        <w:jc w:val="both"/>
        <w:rPr>
          <w:rFonts w:eastAsia="Batang" w:cs="Arial"/>
        </w:rPr>
      </w:pPr>
    </w:p>
    <w:p w14:paraId="332E86AE" w14:textId="77777777" w:rsidR="00755C97" w:rsidRPr="005F2C03" w:rsidRDefault="00755C97" w:rsidP="00755C97">
      <w:pPr>
        <w:tabs>
          <w:tab w:val="left" w:pos="567"/>
        </w:tabs>
        <w:spacing w:line="240" w:lineRule="atLeast"/>
        <w:ind w:right="-79"/>
        <w:jc w:val="both"/>
        <w:rPr>
          <w:rFonts w:eastAsia="Times New Roman" w:cs="Arial"/>
        </w:rPr>
      </w:pPr>
      <w:r w:rsidRPr="005F2C03">
        <w:rPr>
          <w:rFonts w:cs="Arial"/>
        </w:rPr>
        <w:t xml:space="preserve">Este indicador determina la rentabilidad de los activos del proponente, es decir, la capacidad de generación de utilidad operacional por cada peso invertido en el activo. A mayor rentabilidad sobre activos, mayor es la rentabilidad del negocio y mejor la capacidad organizacional del proponente. Este indicador debe ser siempre menor o igual que el de rentabilidad sobre patrimonio. </w:t>
      </w:r>
    </w:p>
    <w:p w14:paraId="1AF19908" w14:textId="77777777" w:rsidR="00755C97" w:rsidRPr="005F2C03" w:rsidRDefault="00755C97" w:rsidP="00755C97">
      <w:pPr>
        <w:tabs>
          <w:tab w:val="left" w:pos="567"/>
        </w:tabs>
        <w:spacing w:line="240" w:lineRule="atLeast"/>
        <w:ind w:right="-79"/>
        <w:jc w:val="both"/>
        <w:rPr>
          <w:rFonts w:cs="Arial"/>
        </w:rPr>
      </w:pPr>
    </w:p>
    <w:p w14:paraId="418876E3" w14:textId="010F1D1E" w:rsidR="00755C97" w:rsidRPr="005F2C03" w:rsidRDefault="00755C97" w:rsidP="00755C97">
      <w:pPr>
        <w:tabs>
          <w:tab w:val="left" w:pos="567"/>
        </w:tabs>
        <w:spacing w:line="240" w:lineRule="atLeast"/>
        <w:ind w:right="-79"/>
        <w:jc w:val="both"/>
        <w:rPr>
          <w:rFonts w:cs="Arial"/>
        </w:rPr>
      </w:pPr>
      <w:r w:rsidRPr="005F2C03">
        <w:rPr>
          <w:rFonts w:cs="Arial"/>
        </w:rPr>
        <w:t xml:space="preserve">Así las cosas, se determina un </w:t>
      </w:r>
      <w:r w:rsidRPr="005F2C03">
        <w:rPr>
          <w:rFonts w:cs="Arial"/>
          <w:b/>
          <w:bCs/>
          <w:u w:val="single"/>
        </w:rPr>
        <w:t>índice de rentabilidad del activo mayor o igual a 0.0</w:t>
      </w:r>
      <w:r w:rsidR="00631DE0" w:rsidRPr="005F2C03">
        <w:rPr>
          <w:rFonts w:cs="Arial"/>
          <w:b/>
          <w:bCs/>
          <w:u w:val="single"/>
        </w:rPr>
        <w:t>0</w:t>
      </w:r>
      <w:r w:rsidRPr="005F2C03">
        <w:rPr>
          <w:rFonts w:cs="Arial"/>
          <w:b/>
          <w:bCs/>
          <w:u w:val="single"/>
        </w:rPr>
        <w:t>,</w:t>
      </w:r>
      <w:r w:rsidRPr="005F2C03">
        <w:rPr>
          <w:rFonts w:cs="Arial"/>
          <w:i/>
          <w:iCs/>
        </w:rPr>
        <w:t xml:space="preserve"> </w:t>
      </w:r>
      <w:r w:rsidRPr="005F2C03">
        <w:rPr>
          <w:rFonts w:cs="Arial"/>
        </w:rPr>
        <w:t>para garantizar el principio de la libre concurrencia.</w:t>
      </w:r>
    </w:p>
    <w:p w14:paraId="2B45B809" w14:textId="77777777" w:rsidR="00755C97" w:rsidRPr="005F2C03" w:rsidRDefault="00755C97" w:rsidP="00755C97">
      <w:pPr>
        <w:tabs>
          <w:tab w:val="left" w:pos="567"/>
        </w:tabs>
        <w:spacing w:line="240" w:lineRule="atLeast"/>
        <w:ind w:right="-79"/>
        <w:jc w:val="both"/>
        <w:rPr>
          <w:rFonts w:cs="Arial"/>
        </w:rPr>
      </w:pPr>
    </w:p>
    <w:p w14:paraId="49F2FD91" w14:textId="420EB9CB" w:rsidR="00755C97" w:rsidRPr="005F2C03" w:rsidRDefault="00755C97" w:rsidP="001D21F6">
      <w:pPr>
        <w:widowControl w:val="0"/>
        <w:spacing w:after="160" w:line="240" w:lineRule="atLeast"/>
        <w:jc w:val="both"/>
        <w:rPr>
          <w:rFonts w:eastAsia="Batang" w:cs="Arial"/>
          <w:b/>
          <w:bCs/>
          <w:lang w:val="es-ES"/>
        </w:rPr>
      </w:pPr>
      <w:r w:rsidRPr="005F2C03">
        <w:rPr>
          <w:rFonts w:eastAsia="Batang" w:cs="Arial"/>
          <w:b/>
          <w:bCs/>
        </w:rPr>
        <w:t>INDICADORES PARA LA CONTRATACIÓN</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795"/>
        <w:gridCol w:w="3558"/>
        <w:gridCol w:w="2475"/>
      </w:tblGrid>
      <w:tr w:rsidR="00755C97" w:rsidRPr="005F2C03" w14:paraId="5A473130" w14:textId="77777777" w:rsidTr="00755C97">
        <w:trPr>
          <w:trHeight w:val="454"/>
          <w:jc w:val="center"/>
        </w:trPr>
        <w:tc>
          <w:tcPr>
            <w:tcW w:w="3025" w:type="dxa"/>
            <w:tcBorders>
              <w:top w:val="single" w:sz="4" w:space="0" w:color="A6A6A6"/>
              <w:left w:val="single" w:sz="4" w:space="0" w:color="A6A6A6"/>
              <w:bottom w:val="single" w:sz="4" w:space="0" w:color="A6A6A6"/>
              <w:right w:val="single" w:sz="4" w:space="0" w:color="A6A6A6"/>
            </w:tcBorders>
            <w:shd w:val="clear" w:color="auto" w:fill="0F4761"/>
            <w:vAlign w:val="center"/>
            <w:hideMark/>
          </w:tcPr>
          <w:p w14:paraId="09F67859" w14:textId="77777777" w:rsidR="00755C97" w:rsidRPr="005F2C03" w:rsidRDefault="00755C97">
            <w:pPr>
              <w:spacing w:line="240" w:lineRule="atLeast"/>
              <w:jc w:val="center"/>
              <w:rPr>
                <w:rFonts w:eastAsia="Arial MT" w:cs="Arial"/>
                <w:b/>
                <w:bCs/>
                <w:color w:val="FFFFFF"/>
              </w:rPr>
            </w:pPr>
            <w:r w:rsidRPr="005F2C03">
              <w:rPr>
                <w:rFonts w:eastAsia="Arial MT" w:cs="Arial"/>
                <w:b/>
                <w:bCs/>
                <w:color w:val="FFFFFF"/>
              </w:rPr>
              <w:t>INDICADOR</w:t>
            </w:r>
          </w:p>
        </w:tc>
        <w:tc>
          <w:tcPr>
            <w:tcW w:w="3637" w:type="dxa"/>
            <w:tcBorders>
              <w:top w:val="single" w:sz="4" w:space="0" w:color="A6A6A6"/>
              <w:left w:val="single" w:sz="4" w:space="0" w:color="A6A6A6"/>
              <w:bottom w:val="single" w:sz="4" w:space="0" w:color="A6A6A6"/>
              <w:right w:val="single" w:sz="4" w:space="0" w:color="A6A6A6"/>
            </w:tcBorders>
            <w:shd w:val="clear" w:color="auto" w:fill="0F4761"/>
            <w:vAlign w:val="center"/>
            <w:hideMark/>
          </w:tcPr>
          <w:p w14:paraId="4F73AB8C" w14:textId="77777777" w:rsidR="00755C97" w:rsidRPr="005F2C03" w:rsidRDefault="00755C97">
            <w:pPr>
              <w:spacing w:line="240" w:lineRule="atLeast"/>
              <w:jc w:val="center"/>
              <w:rPr>
                <w:rFonts w:eastAsia="Arial MT" w:cs="Arial"/>
                <w:b/>
                <w:bCs/>
                <w:color w:val="FFFFFF"/>
              </w:rPr>
            </w:pPr>
            <w:r w:rsidRPr="005F2C03">
              <w:rPr>
                <w:rFonts w:eastAsia="Arial MT" w:cs="Arial"/>
                <w:b/>
                <w:bCs/>
                <w:color w:val="FFFFFF"/>
              </w:rPr>
              <w:t>CRITERIO</w:t>
            </w:r>
          </w:p>
        </w:tc>
        <w:tc>
          <w:tcPr>
            <w:tcW w:w="2688" w:type="dxa"/>
            <w:tcBorders>
              <w:top w:val="single" w:sz="4" w:space="0" w:color="A6A6A6"/>
              <w:left w:val="single" w:sz="4" w:space="0" w:color="A6A6A6"/>
              <w:bottom w:val="single" w:sz="4" w:space="0" w:color="A6A6A6"/>
              <w:right w:val="single" w:sz="4" w:space="0" w:color="A6A6A6"/>
            </w:tcBorders>
            <w:shd w:val="clear" w:color="auto" w:fill="0F4761"/>
            <w:vAlign w:val="center"/>
            <w:hideMark/>
          </w:tcPr>
          <w:p w14:paraId="23890310" w14:textId="77777777" w:rsidR="00755C97" w:rsidRPr="005F2C03" w:rsidRDefault="00755C97">
            <w:pPr>
              <w:spacing w:line="240" w:lineRule="atLeast"/>
              <w:jc w:val="center"/>
              <w:rPr>
                <w:rFonts w:eastAsia="Arial MT" w:cs="Arial"/>
                <w:b/>
                <w:bCs/>
                <w:color w:val="FFFFFF"/>
              </w:rPr>
            </w:pPr>
            <w:r w:rsidRPr="005F2C03">
              <w:rPr>
                <w:rFonts w:eastAsia="Arial MT" w:cs="Arial"/>
                <w:b/>
                <w:bCs/>
                <w:color w:val="FFFFFF"/>
              </w:rPr>
              <w:t>MARGEN SOLICITADO</w:t>
            </w:r>
          </w:p>
        </w:tc>
      </w:tr>
      <w:tr w:rsidR="00755C97" w:rsidRPr="005F2C03" w14:paraId="78AA72CF" w14:textId="77777777" w:rsidTr="00755C97">
        <w:trPr>
          <w:trHeight w:val="454"/>
          <w:jc w:val="center"/>
        </w:trPr>
        <w:tc>
          <w:tcPr>
            <w:tcW w:w="3025" w:type="dxa"/>
            <w:tcBorders>
              <w:top w:val="single" w:sz="4" w:space="0" w:color="A6A6A6"/>
              <w:left w:val="single" w:sz="4" w:space="0" w:color="A6A6A6"/>
              <w:bottom w:val="single" w:sz="4" w:space="0" w:color="A6A6A6"/>
              <w:right w:val="single" w:sz="4" w:space="0" w:color="A6A6A6"/>
            </w:tcBorders>
            <w:shd w:val="clear" w:color="auto" w:fill="F2F2F2"/>
            <w:vAlign w:val="center"/>
            <w:hideMark/>
          </w:tcPr>
          <w:p w14:paraId="7836D700" w14:textId="77777777" w:rsidR="00755C97" w:rsidRPr="005F2C03" w:rsidRDefault="00755C97">
            <w:pPr>
              <w:spacing w:line="240" w:lineRule="atLeast"/>
              <w:jc w:val="both"/>
              <w:rPr>
                <w:rFonts w:eastAsia="Arial MT" w:cs="Arial"/>
                <w:b/>
                <w:bCs/>
              </w:rPr>
            </w:pPr>
            <w:r w:rsidRPr="005F2C03">
              <w:rPr>
                <w:rFonts w:eastAsia="Batang" w:cs="Arial"/>
                <w:b/>
                <w:bCs/>
              </w:rPr>
              <w:t>Liquidez</w:t>
            </w:r>
          </w:p>
        </w:tc>
        <w:tc>
          <w:tcPr>
            <w:tcW w:w="3637"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tbl>
            <w:tblPr>
              <w:tblW w:w="2340" w:type="dxa"/>
              <w:tblInd w:w="578" w:type="dxa"/>
              <w:tblCellMar>
                <w:left w:w="70" w:type="dxa"/>
                <w:right w:w="70" w:type="dxa"/>
              </w:tblCellMar>
              <w:tblLook w:val="04A0" w:firstRow="1" w:lastRow="0" w:firstColumn="1" w:lastColumn="0" w:noHBand="0" w:noVBand="1"/>
            </w:tblPr>
            <w:tblGrid>
              <w:gridCol w:w="2340"/>
            </w:tblGrid>
            <w:tr w:rsidR="00755C97" w:rsidRPr="005F2C03" w14:paraId="23DCBF8E" w14:textId="77777777">
              <w:trPr>
                <w:trHeight w:val="255"/>
              </w:trPr>
              <w:tc>
                <w:tcPr>
                  <w:tcW w:w="2340" w:type="dxa"/>
                  <w:tcBorders>
                    <w:top w:val="nil"/>
                    <w:left w:val="nil"/>
                    <w:bottom w:val="single" w:sz="4" w:space="0" w:color="auto"/>
                    <w:right w:val="nil"/>
                  </w:tcBorders>
                  <w:noWrap/>
                  <w:vAlign w:val="center"/>
                  <w:hideMark/>
                </w:tcPr>
                <w:p w14:paraId="6AE30FA9" w14:textId="77777777" w:rsidR="00755C97" w:rsidRPr="005F2C03" w:rsidRDefault="00755C97">
                  <w:pPr>
                    <w:spacing w:line="240" w:lineRule="atLeast"/>
                    <w:jc w:val="center"/>
                    <w:rPr>
                      <w:rFonts w:eastAsia="Times New Roman" w:cs="Arial"/>
                      <w:i/>
                      <w:iCs/>
                      <w:color w:val="000000"/>
                    </w:rPr>
                  </w:pPr>
                  <w:r w:rsidRPr="005F2C03">
                    <w:rPr>
                      <w:rFonts w:cs="Arial"/>
                      <w:i/>
                      <w:iCs/>
                      <w:color w:val="000000"/>
                    </w:rPr>
                    <w:t>Activo corriente</w:t>
                  </w:r>
                </w:p>
              </w:tc>
            </w:tr>
            <w:tr w:rsidR="00755C97" w:rsidRPr="005F2C03" w14:paraId="281A6E27" w14:textId="77777777">
              <w:trPr>
                <w:trHeight w:val="255"/>
              </w:trPr>
              <w:tc>
                <w:tcPr>
                  <w:tcW w:w="2340" w:type="dxa"/>
                  <w:noWrap/>
                  <w:vAlign w:val="center"/>
                  <w:hideMark/>
                </w:tcPr>
                <w:p w14:paraId="66AD797C" w14:textId="77777777" w:rsidR="00755C97" w:rsidRPr="005F2C03" w:rsidRDefault="00755C97">
                  <w:pPr>
                    <w:spacing w:line="240" w:lineRule="atLeast"/>
                    <w:jc w:val="center"/>
                    <w:rPr>
                      <w:rFonts w:cs="Arial"/>
                      <w:i/>
                      <w:iCs/>
                      <w:color w:val="000000"/>
                      <w:lang w:val="es-ES_tradnl"/>
                    </w:rPr>
                  </w:pPr>
                  <w:r w:rsidRPr="005F2C03">
                    <w:rPr>
                      <w:rFonts w:cs="Arial"/>
                      <w:i/>
                      <w:iCs/>
                      <w:color w:val="000000"/>
                    </w:rPr>
                    <w:t>Pasivo corriente</w:t>
                  </w:r>
                </w:p>
              </w:tc>
            </w:tr>
          </w:tbl>
          <w:p w14:paraId="19009B6C" w14:textId="77777777" w:rsidR="00755C97" w:rsidRPr="005F2C03" w:rsidRDefault="00755C97">
            <w:pPr>
              <w:rPr>
                <w:rFonts w:eastAsia="Calibri" w:cs="Times New Roman"/>
                <w:sz w:val="20"/>
                <w:szCs w:val="20"/>
                <w:lang w:eastAsia="es-CO"/>
              </w:rPr>
            </w:pPr>
          </w:p>
        </w:tc>
        <w:tc>
          <w:tcPr>
            <w:tcW w:w="2688"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7573C20" w14:textId="60DB95AB" w:rsidR="00755C97" w:rsidRPr="005F2C03" w:rsidRDefault="00755C97">
            <w:pPr>
              <w:spacing w:line="240" w:lineRule="atLeast"/>
              <w:jc w:val="both"/>
              <w:rPr>
                <w:rFonts w:eastAsia="Arial MT" w:cs="Arial"/>
                <w:lang w:eastAsia="es-ES_tradnl"/>
              </w:rPr>
            </w:pPr>
            <w:r w:rsidRPr="005F2C03">
              <w:rPr>
                <w:rFonts w:cs="Arial"/>
              </w:rPr>
              <w:t>Mayor</w:t>
            </w:r>
            <w:r w:rsidRPr="005F2C03">
              <w:rPr>
                <w:rFonts w:cs="Arial"/>
                <w:spacing w:val="-2"/>
              </w:rPr>
              <w:t xml:space="preserve"> </w:t>
            </w:r>
            <w:r w:rsidRPr="005F2C03">
              <w:rPr>
                <w:rFonts w:cs="Arial"/>
              </w:rPr>
              <w:t>o</w:t>
            </w:r>
            <w:r w:rsidRPr="005F2C03">
              <w:rPr>
                <w:rFonts w:cs="Arial"/>
                <w:spacing w:val="-1"/>
              </w:rPr>
              <w:t xml:space="preserve"> </w:t>
            </w:r>
            <w:r w:rsidRPr="005F2C03">
              <w:rPr>
                <w:rFonts w:cs="Arial"/>
              </w:rPr>
              <w:t>igual</w:t>
            </w:r>
            <w:r w:rsidRPr="005F2C03">
              <w:rPr>
                <w:rFonts w:cs="Arial"/>
                <w:spacing w:val="-1"/>
              </w:rPr>
              <w:t xml:space="preserve"> </w:t>
            </w:r>
            <w:r w:rsidRPr="005F2C03">
              <w:rPr>
                <w:rFonts w:cs="Arial"/>
              </w:rPr>
              <w:t>a</w:t>
            </w:r>
            <w:r w:rsidRPr="005F2C03">
              <w:rPr>
                <w:rFonts w:cs="Arial"/>
                <w:spacing w:val="-3"/>
              </w:rPr>
              <w:t xml:space="preserve"> </w:t>
            </w:r>
            <w:r w:rsidR="00631DE0" w:rsidRPr="005F2C03">
              <w:rPr>
                <w:rFonts w:cs="Arial"/>
                <w:spacing w:val="-3"/>
              </w:rPr>
              <w:t>0.96</w:t>
            </w:r>
          </w:p>
        </w:tc>
      </w:tr>
      <w:tr w:rsidR="00755C97" w:rsidRPr="005F2C03" w14:paraId="32DFB0A0" w14:textId="77777777" w:rsidTr="00755C97">
        <w:trPr>
          <w:trHeight w:val="454"/>
          <w:jc w:val="center"/>
        </w:trPr>
        <w:tc>
          <w:tcPr>
            <w:tcW w:w="3025" w:type="dxa"/>
            <w:tcBorders>
              <w:top w:val="single" w:sz="4" w:space="0" w:color="A6A6A6"/>
              <w:left w:val="single" w:sz="4" w:space="0" w:color="A6A6A6"/>
              <w:bottom w:val="single" w:sz="4" w:space="0" w:color="A6A6A6"/>
              <w:right w:val="single" w:sz="4" w:space="0" w:color="A6A6A6"/>
            </w:tcBorders>
            <w:shd w:val="clear" w:color="auto" w:fill="F2F2F2"/>
            <w:vAlign w:val="center"/>
            <w:hideMark/>
          </w:tcPr>
          <w:p w14:paraId="3E037193" w14:textId="77777777" w:rsidR="00755C97" w:rsidRPr="005F2C03" w:rsidRDefault="00755C97">
            <w:pPr>
              <w:spacing w:line="240" w:lineRule="atLeast"/>
              <w:jc w:val="both"/>
              <w:rPr>
                <w:rFonts w:eastAsia="Arial MT" w:cs="Arial"/>
                <w:b/>
                <w:bCs/>
              </w:rPr>
            </w:pPr>
            <w:r w:rsidRPr="005F2C03">
              <w:rPr>
                <w:rFonts w:eastAsia="Batang" w:cs="Arial"/>
                <w:b/>
                <w:bCs/>
              </w:rPr>
              <w:t>Nivel de endeudamiento</w:t>
            </w:r>
          </w:p>
        </w:tc>
        <w:tc>
          <w:tcPr>
            <w:tcW w:w="3637"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tbl>
            <w:tblPr>
              <w:tblW w:w="2340" w:type="dxa"/>
              <w:tblInd w:w="578" w:type="dxa"/>
              <w:tblCellMar>
                <w:left w:w="70" w:type="dxa"/>
                <w:right w:w="70" w:type="dxa"/>
              </w:tblCellMar>
              <w:tblLook w:val="04A0" w:firstRow="1" w:lastRow="0" w:firstColumn="1" w:lastColumn="0" w:noHBand="0" w:noVBand="1"/>
            </w:tblPr>
            <w:tblGrid>
              <w:gridCol w:w="2340"/>
            </w:tblGrid>
            <w:tr w:rsidR="00755C97" w:rsidRPr="005F2C03" w14:paraId="2E990E93" w14:textId="77777777">
              <w:trPr>
                <w:trHeight w:val="255"/>
              </w:trPr>
              <w:tc>
                <w:tcPr>
                  <w:tcW w:w="2340" w:type="dxa"/>
                  <w:tcBorders>
                    <w:top w:val="nil"/>
                    <w:left w:val="nil"/>
                    <w:bottom w:val="single" w:sz="4" w:space="0" w:color="auto"/>
                    <w:right w:val="nil"/>
                  </w:tcBorders>
                  <w:noWrap/>
                  <w:vAlign w:val="center"/>
                  <w:hideMark/>
                </w:tcPr>
                <w:p w14:paraId="2528F057" w14:textId="77777777" w:rsidR="00755C97" w:rsidRPr="005F2C03" w:rsidRDefault="00755C97">
                  <w:pPr>
                    <w:spacing w:line="240" w:lineRule="atLeast"/>
                    <w:jc w:val="center"/>
                    <w:rPr>
                      <w:rFonts w:eastAsia="Times New Roman" w:cs="Arial"/>
                      <w:i/>
                      <w:iCs/>
                      <w:color w:val="000000"/>
                    </w:rPr>
                  </w:pPr>
                  <w:r w:rsidRPr="005F2C03">
                    <w:rPr>
                      <w:rFonts w:cs="Arial"/>
                      <w:i/>
                      <w:iCs/>
                      <w:color w:val="000000"/>
                    </w:rPr>
                    <w:t>Pasivo total</w:t>
                  </w:r>
                </w:p>
              </w:tc>
            </w:tr>
            <w:tr w:rsidR="00755C97" w:rsidRPr="005F2C03" w14:paraId="2B8D187D" w14:textId="77777777">
              <w:trPr>
                <w:trHeight w:val="255"/>
              </w:trPr>
              <w:tc>
                <w:tcPr>
                  <w:tcW w:w="2340" w:type="dxa"/>
                  <w:noWrap/>
                  <w:vAlign w:val="center"/>
                  <w:hideMark/>
                </w:tcPr>
                <w:p w14:paraId="40D0F67E" w14:textId="77777777" w:rsidR="00755C97" w:rsidRPr="005F2C03" w:rsidRDefault="00755C97">
                  <w:pPr>
                    <w:spacing w:line="240" w:lineRule="atLeast"/>
                    <w:jc w:val="center"/>
                    <w:rPr>
                      <w:rFonts w:cs="Arial"/>
                      <w:i/>
                      <w:iCs/>
                      <w:color w:val="000000"/>
                      <w:lang w:val="es-ES_tradnl"/>
                    </w:rPr>
                  </w:pPr>
                  <w:r w:rsidRPr="005F2C03">
                    <w:rPr>
                      <w:rFonts w:cs="Arial"/>
                      <w:i/>
                      <w:iCs/>
                      <w:color w:val="000000"/>
                    </w:rPr>
                    <w:t>Activo total</w:t>
                  </w:r>
                </w:p>
              </w:tc>
            </w:tr>
          </w:tbl>
          <w:p w14:paraId="5EF14FA5" w14:textId="77777777" w:rsidR="00755C97" w:rsidRPr="005F2C03" w:rsidRDefault="00755C97">
            <w:pPr>
              <w:rPr>
                <w:rFonts w:eastAsia="Calibri" w:cs="Times New Roman"/>
                <w:sz w:val="20"/>
                <w:szCs w:val="20"/>
                <w:lang w:eastAsia="es-CO"/>
              </w:rPr>
            </w:pPr>
          </w:p>
        </w:tc>
        <w:tc>
          <w:tcPr>
            <w:tcW w:w="2688"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6A895DC8" w14:textId="77777777" w:rsidR="00755C97" w:rsidRPr="005F2C03" w:rsidRDefault="00755C97">
            <w:pPr>
              <w:spacing w:line="240" w:lineRule="atLeast"/>
              <w:jc w:val="both"/>
              <w:rPr>
                <w:rFonts w:eastAsia="Arial MT" w:cs="Arial"/>
                <w:lang w:eastAsia="es-ES_tradnl"/>
              </w:rPr>
            </w:pPr>
            <w:r w:rsidRPr="005F2C03">
              <w:rPr>
                <w:rFonts w:cs="Arial"/>
              </w:rPr>
              <w:t>Menor</w:t>
            </w:r>
            <w:r w:rsidRPr="005F2C03">
              <w:rPr>
                <w:rFonts w:cs="Arial"/>
                <w:spacing w:val="-3"/>
              </w:rPr>
              <w:t xml:space="preserve"> </w:t>
            </w:r>
            <w:r w:rsidRPr="005F2C03">
              <w:rPr>
                <w:rFonts w:cs="Arial"/>
              </w:rPr>
              <w:t>o</w:t>
            </w:r>
            <w:r w:rsidRPr="005F2C03">
              <w:rPr>
                <w:rFonts w:cs="Arial"/>
                <w:spacing w:val="-1"/>
              </w:rPr>
              <w:t xml:space="preserve"> </w:t>
            </w:r>
            <w:r w:rsidRPr="005F2C03">
              <w:rPr>
                <w:rFonts w:cs="Arial"/>
              </w:rPr>
              <w:t>igual</w:t>
            </w:r>
            <w:r w:rsidRPr="005F2C03">
              <w:rPr>
                <w:rFonts w:cs="Arial"/>
                <w:spacing w:val="-1"/>
              </w:rPr>
              <w:t xml:space="preserve"> </w:t>
            </w:r>
            <w:r w:rsidRPr="005F2C03">
              <w:rPr>
                <w:rFonts w:cs="Arial"/>
              </w:rPr>
              <w:t>al</w:t>
            </w:r>
            <w:r w:rsidRPr="005F2C03">
              <w:rPr>
                <w:rFonts w:cs="Arial"/>
                <w:spacing w:val="-1"/>
              </w:rPr>
              <w:t xml:space="preserve"> </w:t>
            </w:r>
            <w:r w:rsidRPr="005F2C03">
              <w:rPr>
                <w:rFonts w:cs="Arial"/>
              </w:rPr>
              <w:t>93%</w:t>
            </w:r>
          </w:p>
        </w:tc>
      </w:tr>
      <w:tr w:rsidR="00755C97" w:rsidRPr="005F2C03" w14:paraId="04FF9871" w14:textId="77777777" w:rsidTr="00755C97">
        <w:trPr>
          <w:trHeight w:val="454"/>
          <w:jc w:val="center"/>
        </w:trPr>
        <w:tc>
          <w:tcPr>
            <w:tcW w:w="3025" w:type="dxa"/>
            <w:tcBorders>
              <w:top w:val="single" w:sz="4" w:space="0" w:color="A6A6A6"/>
              <w:left w:val="single" w:sz="4" w:space="0" w:color="A6A6A6"/>
              <w:bottom w:val="single" w:sz="4" w:space="0" w:color="A6A6A6"/>
              <w:right w:val="single" w:sz="4" w:space="0" w:color="A6A6A6"/>
            </w:tcBorders>
            <w:shd w:val="clear" w:color="auto" w:fill="F2F2F2"/>
            <w:vAlign w:val="center"/>
            <w:hideMark/>
          </w:tcPr>
          <w:p w14:paraId="4A87C457" w14:textId="77777777" w:rsidR="00755C97" w:rsidRPr="005F2C03" w:rsidRDefault="00755C97">
            <w:pPr>
              <w:spacing w:line="240" w:lineRule="atLeast"/>
              <w:jc w:val="both"/>
              <w:rPr>
                <w:rFonts w:eastAsia="Arial MT" w:cs="Arial"/>
                <w:b/>
                <w:bCs/>
              </w:rPr>
            </w:pPr>
            <w:r w:rsidRPr="005F2C03">
              <w:rPr>
                <w:rFonts w:eastAsia="Batang" w:cs="Arial"/>
                <w:b/>
                <w:bCs/>
              </w:rPr>
              <w:t>Exceso o defecto de patrimonio</w:t>
            </w:r>
          </w:p>
        </w:tc>
        <w:tc>
          <w:tcPr>
            <w:tcW w:w="3637"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55840BC1" w14:textId="77777777" w:rsidR="00755C97" w:rsidRPr="005F2C03" w:rsidRDefault="00755C97">
            <w:pPr>
              <w:shd w:val="clear" w:color="auto" w:fill="FFFFFF"/>
              <w:spacing w:line="240" w:lineRule="atLeast"/>
              <w:jc w:val="center"/>
              <w:rPr>
                <w:rFonts w:eastAsia="Arial MT" w:cs="Arial"/>
                <w:i/>
                <w:iCs/>
              </w:rPr>
            </w:pPr>
            <w:r w:rsidRPr="005F2C03">
              <w:rPr>
                <w:rFonts w:eastAsia="Arial MT" w:cs="Arial"/>
                <w:i/>
                <w:iCs/>
              </w:rPr>
              <w:t>Patrimonio técnico – Patrimonio adecuado</w:t>
            </w:r>
          </w:p>
        </w:tc>
        <w:tc>
          <w:tcPr>
            <w:tcW w:w="2688"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45C3D643" w14:textId="77777777" w:rsidR="00755C97" w:rsidRPr="005F2C03" w:rsidRDefault="00755C97">
            <w:pPr>
              <w:pStyle w:val="TableParagraph"/>
              <w:shd w:val="clear" w:color="auto" w:fill="FFFFFF"/>
              <w:spacing w:line="240" w:lineRule="atLeast"/>
              <w:ind w:right="135"/>
              <w:rPr>
                <w:rFonts w:ascii="Arial Narrow" w:hAnsi="Arial Narrow" w:cs="Arial"/>
              </w:rPr>
            </w:pPr>
            <w:r w:rsidRPr="005F2C03">
              <w:rPr>
                <w:rFonts w:ascii="Arial Narrow" w:hAnsi="Arial Narrow" w:cs="Arial"/>
              </w:rPr>
              <w:t>Positivo</w:t>
            </w:r>
          </w:p>
        </w:tc>
      </w:tr>
    </w:tbl>
    <w:p w14:paraId="5C87E132" w14:textId="77777777" w:rsidR="00755C97" w:rsidRPr="005F2C03" w:rsidRDefault="00755C97" w:rsidP="00755C97">
      <w:pPr>
        <w:spacing w:line="240" w:lineRule="atLeast"/>
        <w:jc w:val="both"/>
        <w:rPr>
          <w:rFonts w:eastAsia="Batang" w:cs="Arial"/>
          <w:b/>
          <w:bCs/>
          <w:lang w:eastAsia="zh-CN"/>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756"/>
        <w:gridCol w:w="3540"/>
        <w:gridCol w:w="2532"/>
      </w:tblGrid>
      <w:tr w:rsidR="00755C97" w:rsidRPr="005F2C03" w14:paraId="5E74E7C0" w14:textId="77777777" w:rsidTr="00755C97">
        <w:trPr>
          <w:trHeight w:val="454"/>
          <w:jc w:val="center"/>
        </w:trPr>
        <w:tc>
          <w:tcPr>
            <w:tcW w:w="2756" w:type="dxa"/>
            <w:tcBorders>
              <w:top w:val="single" w:sz="4" w:space="0" w:color="A6A6A6"/>
              <w:left w:val="single" w:sz="4" w:space="0" w:color="A6A6A6"/>
              <w:bottom w:val="single" w:sz="4" w:space="0" w:color="A6A6A6"/>
              <w:right w:val="single" w:sz="4" w:space="0" w:color="A6A6A6"/>
            </w:tcBorders>
            <w:shd w:val="clear" w:color="auto" w:fill="0F4761"/>
            <w:vAlign w:val="center"/>
            <w:hideMark/>
          </w:tcPr>
          <w:p w14:paraId="63D71334" w14:textId="77777777" w:rsidR="00755C97" w:rsidRPr="005F2C03" w:rsidRDefault="00755C97">
            <w:pPr>
              <w:spacing w:line="240" w:lineRule="atLeast"/>
              <w:ind w:right="211"/>
              <w:jc w:val="center"/>
              <w:rPr>
                <w:rFonts w:eastAsia="Times New Roman" w:cs="Arial"/>
                <w:b/>
                <w:bCs/>
                <w:color w:val="FFFFFF"/>
                <w:lang w:eastAsia="es-ES_tradnl"/>
              </w:rPr>
            </w:pPr>
            <w:r w:rsidRPr="005F2C03">
              <w:rPr>
                <w:rFonts w:cs="Arial"/>
                <w:b/>
                <w:bCs/>
                <w:color w:val="FFFFFF"/>
              </w:rPr>
              <w:t>INDICADOR</w:t>
            </w:r>
          </w:p>
        </w:tc>
        <w:tc>
          <w:tcPr>
            <w:tcW w:w="3540" w:type="dxa"/>
            <w:tcBorders>
              <w:top w:val="single" w:sz="4" w:space="0" w:color="A6A6A6"/>
              <w:left w:val="single" w:sz="4" w:space="0" w:color="A6A6A6"/>
              <w:bottom w:val="single" w:sz="4" w:space="0" w:color="A6A6A6"/>
              <w:right w:val="single" w:sz="4" w:space="0" w:color="A6A6A6"/>
            </w:tcBorders>
            <w:shd w:val="clear" w:color="auto" w:fill="0F4761"/>
            <w:vAlign w:val="center"/>
            <w:hideMark/>
          </w:tcPr>
          <w:p w14:paraId="4D089C23" w14:textId="77777777" w:rsidR="00755C97" w:rsidRPr="005F2C03" w:rsidRDefault="00755C97">
            <w:pPr>
              <w:spacing w:line="240" w:lineRule="atLeast"/>
              <w:ind w:right="211"/>
              <w:jc w:val="center"/>
              <w:rPr>
                <w:rFonts w:cs="Arial"/>
                <w:b/>
                <w:bCs/>
                <w:color w:val="FFFFFF"/>
                <w:lang w:eastAsia="zh-CN"/>
              </w:rPr>
            </w:pPr>
            <w:r w:rsidRPr="005F2C03">
              <w:rPr>
                <w:rFonts w:cs="Arial"/>
                <w:b/>
                <w:bCs/>
                <w:color w:val="FFFFFF"/>
              </w:rPr>
              <w:t>CRITERIO</w:t>
            </w:r>
          </w:p>
        </w:tc>
        <w:tc>
          <w:tcPr>
            <w:tcW w:w="2532" w:type="dxa"/>
            <w:tcBorders>
              <w:top w:val="single" w:sz="4" w:space="0" w:color="A6A6A6"/>
              <w:left w:val="single" w:sz="4" w:space="0" w:color="A6A6A6"/>
              <w:bottom w:val="single" w:sz="4" w:space="0" w:color="A6A6A6"/>
              <w:right w:val="single" w:sz="4" w:space="0" w:color="A6A6A6"/>
            </w:tcBorders>
            <w:shd w:val="clear" w:color="auto" w:fill="0F4761"/>
            <w:vAlign w:val="center"/>
            <w:hideMark/>
          </w:tcPr>
          <w:p w14:paraId="5E5ADA48" w14:textId="77777777" w:rsidR="00755C97" w:rsidRPr="005F2C03" w:rsidRDefault="00755C97">
            <w:pPr>
              <w:spacing w:line="240" w:lineRule="atLeast"/>
              <w:ind w:right="211"/>
              <w:jc w:val="center"/>
              <w:rPr>
                <w:rFonts w:cs="Arial"/>
                <w:b/>
                <w:bCs/>
                <w:color w:val="FFFFFF"/>
                <w:lang w:eastAsia="es-ES_tradnl"/>
              </w:rPr>
            </w:pPr>
            <w:r w:rsidRPr="005F2C03">
              <w:rPr>
                <w:rFonts w:cs="Arial"/>
                <w:b/>
                <w:bCs/>
                <w:color w:val="FFFFFF"/>
              </w:rPr>
              <w:t>MARGEN SOLICITADO</w:t>
            </w:r>
          </w:p>
        </w:tc>
      </w:tr>
      <w:tr w:rsidR="00755C97" w:rsidRPr="005F2C03" w14:paraId="455D1740" w14:textId="77777777" w:rsidTr="00755C97">
        <w:trPr>
          <w:trHeight w:val="454"/>
          <w:jc w:val="center"/>
        </w:trPr>
        <w:tc>
          <w:tcPr>
            <w:tcW w:w="2756" w:type="dxa"/>
            <w:tcBorders>
              <w:top w:val="single" w:sz="4" w:space="0" w:color="A6A6A6"/>
              <w:left w:val="single" w:sz="4" w:space="0" w:color="A6A6A6"/>
              <w:bottom w:val="single" w:sz="4" w:space="0" w:color="A6A6A6"/>
              <w:right w:val="single" w:sz="4" w:space="0" w:color="A6A6A6"/>
            </w:tcBorders>
            <w:shd w:val="clear" w:color="auto" w:fill="F2F2F2"/>
            <w:vAlign w:val="center"/>
            <w:hideMark/>
          </w:tcPr>
          <w:p w14:paraId="45EBAAA9" w14:textId="77777777" w:rsidR="00755C97" w:rsidRPr="005F2C03" w:rsidRDefault="00755C97">
            <w:pPr>
              <w:spacing w:line="240" w:lineRule="atLeast"/>
              <w:ind w:right="211"/>
              <w:jc w:val="both"/>
              <w:rPr>
                <w:rFonts w:cs="Arial"/>
              </w:rPr>
            </w:pPr>
            <w:r w:rsidRPr="005F2C03">
              <w:rPr>
                <w:rFonts w:cs="Arial"/>
              </w:rPr>
              <w:t>Índice de rentabilidad del patrimonio</w:t>
            </w:r>
          </w:p>
        </w:tc>
        <w:tc>
          <w:tcPr>
            <w:tcW w:w="3540"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tbl>
            <w:tblPr>
              <w:tblW w:w="2340" w:type="dxa"/>
              <w:tblInd w:w="578" w:type="dxa"/>
              <w:tblCellMar>
                <w:left w:w="70" w:type="dxa"/>
                <w:right w:w="70" w:type="dxa"/>
              </w:tblCellMar>
              <w:tblLook w:val="04A0" w:firstRow="1" w:lastRow="0" w:firstColumn="1" w:lastColumn="0" w:noHBand="0" w:noVBand="1"/>
            </w:tblPr>
            <w:tblGrid>
              <w:gridCol w:w="2340"/>
            </w:tblGrid>
            <w:tr w:rsidR="00755C97" w:rsidRPr="005F2C03" w14:paraId="5877E1A3" w14:textId="77777777">
              <w:trPr>
                <w:trHeight w:val="255"/>
              </w:trPr>
              <w:tc>
                <w:tcPr>
                  <w:tcW w:w="2340" w:type="dxa"/>
                  <w:tcBorders>
                    <w:top w:val="nil"/>
                    <w:left w:val="nil"/>
                    <w:bottom w:val="single" w:sz="4" w:space="0" w:color="auto"/>
                    <w:right w:val="nil"/>
                  </w:tcBorders>
                  <w:noWrap/>
                  <w:vAlign w:val="center"/>
                  <w:hideMark/>
                </w:tcPr>
                <w:p w14:paraId="7CFEDD2C" w14:textId="77777777" w:rsidR="00755C97" w:rsidRPr="005F2C03" w:rsidRDefault="00755C97">
                  <w:pPr>
                    <w:spacing w:line="240" w:lineRule="atLeast"/>
                    <w:ind w:right="211"/>
                    <w:jc w:val="center"/>
                    <w:rPr>
                      <w:rFonts w:cs="Arial"/>
                      <w:i/>
                      <w:iCs/>
                      <w:lang w:val="es-ES_tradnl"/>
                    </w:rPr>
                  </w:pPr>
                  <w:r w:rsidRPr="005F2C03">
                    <w:rPr>
                      <w:rFonts w:cs="Arial"/>
                      <w:i/>
                      <w:iCs/>
                    </w:rPr>
                    <w:t>Utilidad operacional</w:t>
                  </w:r>
                </w:p>
              </w:tc>
            </w:tr>
            <w:tr w:rsidR="00755C97" w:rsidRPr="005F2C03" w14:paraId="55AE26C6" w14:textId="77777777">
              <w:trPr>
                <w:trHeight w:val="255"/>
              </w:trPr>
              <w:tc>
                <w:tcPr>
                  <w:tcW w:w="2340" w:type="dxa"/>
                  <w:noWrap/>
                  <w:vAlign w:val="center"/>
                  <w:hideMark/>
                </w:tcPr>
                <w:p w14:paraId="0A17FF69" w14:textId="77777777" w:rsidR="00755C97" w:rsidRPr="005F2C03" w:rsidRDefault="00755C97">
                  <w:pPr>
                    <w:spacing w:line="240" w:lineRule="atLeast"/>
                    <w:ind w:right="211"/>
                    <w:jc w:val="center"/>
                    <w:rPr>
                      <w:rFonts w:cs="Arial"/>
                      <w:i/>
                      <w:iCs/>
                    </w:rPr>
                  </w:pPr>
                  <w:r w:rsidRPr="005F2C03">
                    <w:rPr>
                      <w:rFonts w:cs="Arial"/>
                      <w:i/>
                      <w:iCs/>
                    </w:rPr>
                    <w:t>Patrimonio</w:t>
                  </w:r>
                </w:p>
              </w:tc>
            </w:tr>
          </w:tbl>
          <w:p w14:paraId="15126CA6" w14:textId="77777777" w:rsidR="00755C97" w:rsidRPr="005F2C03" w:rsidRDefault="00755C97">
            <w:pPr>
              <w:rPr>
                <w:rFonts w:eastAsia="Calibri" w:cs="Times New Roman"/>
                <w:sz w:val="20"/>
                <w:szCs w:val="20"/>
                <w:lang w:eastAsia="es-CO"/>
              </w:rPr>
            </w:pPr>
          </w:p>
        </w:tc>
        <w:tc>
          <w:tcPr>
            <w:tcW w:w="2532"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7EDED34C" w14:textId="06EBAE9B" w:rsidR="00755C97" w:rsidRPr="005F2C03" w:rsidRDefault="00755C97">
            <w:pPr>
              <w:spacing w:line="240" w:lineRule="atLeast"/>
              <w:ind w:right="211"/>
              <w:jc w:val="both"/>
              <w:rPr>
                <w:rFonts w:eastAsia="Times New Roman" w:cs="Arial"/>
                <w:lang w:eastAsia="zh-CN"/>
              </w:rPr>
            </w:pPr>
            <w:r w:rsidRPr="005F2C03">
              <w:rPr>
                <w:rFonts w:cs="Arial"/>
              </w:rPr>
              <w:t>Mayor o igual a 0.0</w:t>
            </w:r>
            <w:r w:rsidR="00631DE0" w:rsidRPr="005F2C03">
              <w:rPr>
                <w:rFonts w:cs="Arial"/>
              </w:rPr>
              <w:t>4</w:t>
            </w:r>
          </w:p>
        </w:tc>
      </w:tr>
      <w:tr w:rsidR="00755C97" w:rsidRPr="005F2C03" w14:paraId="184AC09A" w14:textId="77777777" w:rsidTr="00755C97">
        <w:trPr>
          <w:trHeight w:val="454"/>
          <w:jc w:val="center"/>
        </w:trPr>
        <w:tc>
          <w:tcPr>
            <w:tcW w:w="2756" w:type="dxa"/>
            <w:tcBorders>
              <w:top w:val="single" w:sz="4" w:space="0" w:color="A6A6A6"/>
              <w:left w:val="single" w:sz="4" w:space="0" w:color="A6A6A6"/>
              <w:bottom w:val="single" w:sz="4" w:space="0" w:color="A6A6A6"/>
              <w:right w:val="single" w:sz="4" w:space="0" w:color="A6A6A6"/>
            </w:tcBorders>
            <w:shd w:val="clear" w:color="auto" w:fill="F2F2F2"/>
            <w:vAlign w:val="center"/>
            <w:hideMark/>
          </w:tcPr>
          <w:p w14:paraId="1F51C9D8" w14:textId="77777777" w:rsidR="00755C97" w:rsidRPr="005F2C03" w:rsidRDefault="00755C97">
            <w:pPr>
              <w:spacing w:line="240" w:lineRule="atLeast"/>
              <w:ind w:right="211"/>
              <w:jc w:val="both"/>
              <w:rPr>
                <w:rFonts w:cs="Arial"/>
                <w:lang w:eastAsia="es-ES_tradnl"/>
              </w:rPr>
            </w:pPr>
            <w:r w:rsidRPr="005F2C03">
              <w:rPr>
                <w:rFonts w:cs="Arial"/>
              </w:rPr>
              <w:lastRenderedPageBreak/>
              <w:t>Índice de rentabilidad del activo</w:t>
            </w:r>
          </w:p>
        </w:tc>
        <w:tc>
          <w:tcPr>
            <w:tcW w:w="3540"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tbl>
            <w:tblPr>
              <w:tblW w:w="2340" w:type="dxa"/>
              <w:tblInd w:w="578" w:type="dxa"/>
              <w:tblCellMar>
                <w:left w:w="70" w:type="dxa"/>
                <w:right w:w="70" w:type="dxa"/>
              </w:tblCellMar>
              <w:tblLook w:val="04A0" w:firstRow="1" w:lastRow="0" w:firstColumn="1" w:lastColumn="0" w:noHBand="0" w:noVBand="1"/>
            </w:tblPr>
            <w:tblGrid>
              <w:gridCol w:w="2340"/>
            </w:tblGrid>
            <w:tr w:rsidR="00755C97" w:rsidRPr="005F2C03" w14:paraId="1CA35D37" w14:textId="77777777">
              <w:trPr>
                <w:trHeight w:val="255"/>
              </w:trPr>
              <w:tc>
                <w:tcPr>
                  <w:tcW w:w="2340" w:type="dxa"/>
                  <w:tcBorders>
                    <w:top w:val="nil"/>
                    <w:left w:val="nil"/>
                    <w:bottom w:val="single" w:sz="4" w:space="0" w:color="auto"/>
                    <w:right w:val="nil"/>
                  </w:tcBorders>
                  <w:noWrap/>
                  <w:vAlign w:val="center"/>
                  <w:hideMark/>
                </w:tcPr>
                <w:p w14:paraId="1FB923E9" w14:textId="77777777" w:rsidR="00755C97" w:rsidRPr="005F2C03" w:rsidRDefault="00755C97">
                  <w:pPr>
                    <w:spacing w:line="240" w:lineRule="atLeast"/>
                    <w:ind w:right="211"/>
                    <w:jc w:val="center"/>
                    <w:rPr>
                      <w:rFonts w:cs="Arial"/>
                      <w:i/>
                      <w:iCs/>
                      <w:lang w:val="es-ES_tradnl"/>
                    </w:rPr>
                  </w:pPr>
                  <w:r w:rsidRPr="005F2C03">
                    <w:rPr>
                      <w:rFonts w:cs="Arial"/>
                      <w:i/>
                      <w:iCs/>
                    </w:rPr>
                    <w:t>Utilidad operacional</w:t>
                  </w:r>
                </w:p>
              </w:tc>
            </w:tr>
            <w:tr w:rsidR="00755C97" w:rsidRPr="005F2C03" w14:paraId="0ABFF169" w14:textId="77777777">
              <w:trPr>
                <w:trHeight w:val="255"/>
              </w:trPr>
              <w:tc>
                <w:tcPr>
                  <w:tcW w:w="2340" w:type="dxa"/>
                  <w:noWrap/>
                  <w:vAlign w:val="center"/>
                  <w:hideMark/>
                </w:tcPr>
                <w:p w14:paraId="423BC9F7" w14:textId="77777777" w:rsidR="00755C97" w:rsidRPr="005F2C03" w:rsidRDefault="00755C97">
                  <w:pPr>
                    <w:spacing w:line="240" w:lineRule="atLeast"/>
                    <w:ind w:right="211"/>
                    <w:jc w:val="center"/>
                    <w:rPr>
                      <w:rFonts w:cs="Arial"/>
                      <w:i/>
                      <w:iCs/>
                    </w:rPr>
                  </w:pPr>
                  <w:r w:rsidRPr="005F2C03">
                    <w:rPr>
                      <w:rFonts w:cs="Arial"/>
                      <w:i/>
                      <w:iCs/>
                    </w:rPr>
                    <w:t>Activo total</w:t>
                  </w:r>
                </w:p>
              </w:tc>
            </w:tr>
          </w:tbl>
          <w:p w14:paraId="009CF31C" w14:textId="77777777" w:rsidR="00755C97" w:rsidRPr="005F2C03" w:rsidRDefault="00755C97">
            <w:pPr>
              <w:rPr>
                <w:rFonts w:eastAsia="Calibri" w:cs="Times New Roman"/>
                <w:sz w:val="20"/>
                <w:szCs w:val="20"/>
                <w:lang w:eastAsia="es-CO"/>
              </w:rPr>
            </w:pPr>
          </w:p>
        </w:tc>
        <w:tc>
          <w:tcPr>
            <w:tcW w:w="2532" w:type="dxa"/>
            <w:tcBorders>
              <w:top w:val="single" w:sz="4" w:space="0" w:color="A6A6A6"/>
              <w:left w:val="single" w:sz="4" w:space="0" w:color="A6A6A6"/>
              <w:bottom w:val="single" w:sz="4" w:space="0" w:color="A6A6A6"/>
              <w:right w:val="single" w:sz="4" w:space="0" w:color="A6A6A6"/>
            </w:tcBorders>
            <w:shd w:val="clear" w:color="auto" w:fill="FFFFFF"/>
            <w:vAlign w:val="center"/>
            <w:hideMark/>
          </w:tcPr>
          <w:p w14:paraId="202721DC" w14:textId="0D71A17D" w:rsidR="00755C97" w:rsidRPr="005F2C03" w:rsidRDefault="00755C97">
            <w:pPr>
              <w:spacing w:line="240" w:lineRule="atLeast"/>
              <w:ind w:right="211"/>
              <w:jc w:val="both"/>
              <w:rPr>
                <w:rFonts w:eastAsia="Times New Roman" w:cs="Arial"/>
                <w:lang w:eastAsia="zh-CN"/>
              </w:rPr>
            </w:pPr>
            <w:r w:rsidRPr="005F2C03">
              <w:rPr>
                <w:rFonts w:cs="Arial"/>
              </w:rPr>
              <w:t>Mayor o igual a 0.0</w:t>
            </w:r>
            <w:r w:rsidR="00631DE0" w:rsidRPr="005F2C03">
              <w:rPr>
                <w:rFonts w:cs="Arial"/>
              </w:rPr>
              <w:t>0</w:t>
            </w:r>
          </w:p>
        </w:tc>
      </w:tr>
    </w:tbl>
    <w:p w14:paraId="06CBA476" w14:textId="77777777" w:rsidR="00755C97" w:rsidRPr="005F2C03" w:rsidRDefault="00755C97" w:rsidP="00755C97">
      <w:pPr>
        <w:spacing w:line="240" w:lineRule="atLeast"/>
        <w:jc w:val="both"/>
        <w:rPr>
          <w:rFonts w:eastAsia="Batang" w:cs="Arial"/>
          <w:lang w:eastAsia="zh-CN"/>
        </w:rPr>
      </w:pPr>
    </w:p>
    <w:p w14:paraId="4D70E9CB" w14:textId="77777777" w:rsidR="00755C97" w:rsidRPr="005F2C03" w:rsidRDefault="00755C97" w:rsidP="00755C97">
      <w:pPr>
        <w:shd w:val="clear" w:color="auto" w:fill="FFFFFF"/>
        <w:spacing w:line="240" w:lineRule="atLeast"/>
        <w:jc w:val="both"/>
        <w:rPr>
          <w:rFonts w:eastAsia="Times New Roman" w:cs="Arial"/>
          <w:bCs/>
          <w:lang w:eastAsia="es-ES_tradnl"/>
        </w:rPr>
      </w:pPr>
      <w:r w:rsidRPr="005F2C03">
        <w:rPr>
          <w:rFonts w:cs="Arial"/>
          <w:b/>
        </w:rPr>
        <w:t xml:space="preserve">NOTA 1: </w:t>
      </w:r>
      <w:r w:rsidRPr="005F2C03">
        <w:rPr>
          <w:rFonts w:cs="Arial"/>
          <w:bCs/>
        </w:rPr>
        <w:t>Para que un proponente se considere habilitado, se requiere que cumpla con todos los indicadores anteriormente descritos.</w:t>
      </w:r>
    </w:p>
    <w:p w14:paraId="7FC5E54D" w14:textId="77777777" w:rsidR="00755C97" w:rsidRPr="005F2C03" w:rsidRDefault="00755C97" w:rsidP="00755C97">
      <w:pPr>
        <w:shd w:val="clear" w:color="auto" w:fill="FFFFFF"/>
        <w:spacing w:line="240" w:lineRule="atLeast"/>
        <w:jc w:val="both"/>
        <w:rPr>
          <w:rFonts w:cs="Arial"/>
          <w:bCs/>
        </w:rPr>
      </w:pPr>
    </w:p>
    <w:p w14:paraId="65FAA751" w14:textId="77777777" w:rsidR="00755C97" w:rsidRPr="005F2C03" w:rsidRDefault="00755C97" w:rsidP="00755C97">
      <w:pPr>
        <w:shd w:val="clear" w:color="auto" w:fill="FFFFFF"/>
        <w:spacing w:line="240" w:lineRule="atLeast"/>
        <w:jc w:val="both"/>
        <w:rPr>
          <w:rFonts w:cs="Arial"/>
        </w:rPr>
      </w:pPr>
      <w:r w:rsidRPr="005F2C03">
        <w:rPr>
          <w:rFonts w:cs="Arial"/>
          <w:b/>
        </w:rPr>
        <w:t xml:space="preserve">NOTA 2: </w:t>
      </w:r>
      <w:r w:rsidRPr="005F2C03">
        <w:rPr>
          <w:rFonts w:cs="Arial"/>
        </w:rPr>
        <w:t xml:space="preserve">Frente al indicador de Exceso o defecto de patrimonio, el mismo se verificará con el último corte reportado a la Superintendencia Financiera de Colombia (Abril de 2024). </w:t>
      </w:r>
    </w:p>
    <w:p w14:paraId="5BF1C170" w14:textId="77777777" w:rsidR="00755C97" w:rsidRPr="005F2C03" w:rsidRDefault="00FF22CE" w:rsidP="00755C97">
      <w:pPr>
        <w:shd w:val="clear" w:color="auto" w:fill="FFFFFF"/>
        <w:spacing w:line="240" w:lineRule="atLeast"/>
        <w:jc w:val="both"/>
        <w:rPr>
          <w:rStyle w:val="Hipervnculo"/>
        </w:rPr>
      </w:pPr>
      <w:hyperlink r:id="rId80" w:history="1">
        <w:r w:rsidR="00755C97" w:rsidRPr="005F2C03">
          <w:rPr>
            <w:rStyle w:val="Hipervnculo"/>
            <w:rFonts w:cs="Arial"/>
          </w:rPr>
          <w:t>https://www.superfinanciera.gov.co/IngresoPowerBI/</w:t>
        </w:r>
      </w:hyperlink>
    </w:p>
    <w:p w14:paraId="733085F1" w14:textId="77777777" w:rsidR="00CE5537" w:rsidRPr="005F2C03" w:rsidRDefault="00CE5537" w:rsidP="002C43B5">
      <w:pPr>
        <w:ind w:left="284" w:right="335"/>
        <w:jc w:val="both"/>
        <w:rPr>
          <w:i/>
          <w:iCs/>
        </w:rPr>
      </w:pPr>
    </w:p>
    <w:p w14:paraId="5D1C4F9C" w14:textId="0411CD3F" w:rsidR="00631DE0" w:rsidRPr="005F2C03" w:rsidRDefault="00631DE0" w:rsidP="001D21F6">
      <w:pPr>
        <w:spacing w:after="160" w:line="240" w:lineRule="atLeast"/>
        <w:jc w:val="both"/>
        <w:rPr>
          <w:rFonts w:eastAsia="Batang" w:cs="Arial"/>
          <w:b/>
          <w:bCs/>
        </w:rPr>
      </w:pPr>
      <w:r w:rsidRPr="005F2C03">
        <w:rPr>
          <w:rFonts w:eastAsia="Batang" w:cs="Arial"/>
          <w:b/>
          <w:bCs/>
        </w:rPr>
        <w:t>INDICADORES PARA FORMA PLURAL</w:t>
      </w:r>
    </w:p>
    <w:p w14:paraId="2226EF89" w14:textId="77777777" w:rsidR="00631DE0" w:rsidRPr="005F2C03" w:rsidRDefault="00631DE0" w:rsidP="00631DE0">
      <w:pPr>
        <w:spacing w:line="240" w:lineRule="atLeast"/>
        <w:jc w:val="both"/>
        <w:rPr>
          <w:rFonts w:eastAsia="Batang" w:cs="Arial"/>
        </w:rPr>
      </w:pPr>
      <w:r w:rsidRPr="005F2C03">
        <w:rPr>
          <w:rFonts w:eastAsia="Batang" w:cs="Arial"/>
        </w:rPr>
        <w:t>Frente a la forma de calcular los indicadores financieros y de capacidad organizacional para los consorcios y uniones temporales, nos permitimos precisar que, se obtendrá aplicando lo establecido en el título VII “Proponentes Plurales” y en el numeral 1 “Ponderación de los componentes de los indicadores” del título VII del Manual para determinar y verificar los requisitos habilitantes en los procesos de contratación, expedido por la Agencia Nacional de Contratación – Colombia Compra Eficiente, así:</w:t>
      </w:r>
    </w:p>
    <w:p w14:paraId="4AC028C5" w14:textId="77777777" w:rsidR="00631DE0" w:rsidRPr="005F2C03" w:rsidRDefault="00631DE0" w:rsidP="00631DE0">
      <w:pPr>
        <w:spacing w:line="240" w:lineRule="atLeast"/>
        <w:jc w:val="both"/>
        <w:rPr>
          <w:rFonts w:eastAsia="Batang" w:cs="Arial"/>
        </w:rPr>
      </w:pPr>
    </w:p>
    <w:p w14:paraId="48E8EAC7" w14:textId="5546CAE6" w:rsidR="00631DE0" w:rsidRPr="005F2C03" w:rsidRDefault="00631DE0" w:rsidP="00631DE0">
      <w:pPr>
        <w:spacing w:line="240" w:lineRule="atLeast"/>
        <w:jc w:val="both"/>
        <w:rPr>
          <w:rFonts w:eastAsia="Times New Roman" w:cs="Arial"/>
        </w:rPr>
      </w:pPr>
      <w:r w:rsidRPr="005F2C03">
        <w:rPr>
          <w:rFonts w:eastAsia="Batang" w:cs="Arial"/>
        </w:rPr>
        <w:t>Cuando se trate de consorcios o uniones temporales, el procedimiento para calcular los indicadores se hará tomando</w:t>
      </w:r>
      <w:r w:rsidRPr="005F2C03">
        <w:rPr>
          <w:rFonts w:cs="Arial"/>
        </w:rPr>
        <w:t xml:space="preserve"> la sumatoria de los indicadores registrados en el RUP de cada uno de los integrantes del Consorcio o Unión Temporal y no por el porcentaje de participación de sus integrantes.</w:t>
      </w:r>
    </w:p>
    <w:p w14:paraId="2A83ACA3" w14:textId="77777777" w:rsidR="00631DE0" w:rsidRPr="005F2C03" w:rsidRDefault="00631DE0" w:rsidP="00631DE0">
      <w:pPr>
        <w:spacing w:line="240" w:lineRule="atLeast"/>
        <w:jc w:val="both"/>
        <w:rPr>
          <w:rFonts w:cs="Arial"/>
        </w:rPr>
      </w:pPr>
    </w:p>
    <w:p w14:paraId="1882A29D" w14:textId="77777777" w:rsidR="00631DE0" w:rsidRPr="005F2C03" w:rsidRDefault="00631DE0" w:rsidP="00631DE0">
      <w:pPr>
        <w:pStyle w:val="Sinespaciado3"/>
        <w:spacing w:line="240" w:lineRule="atLeast"/>
        <w:ind w:right="-93"/>
        <w:jc w:val="both"/>
        <w:rPr>
          <w:rFonts w:ascii="Arial Narrow" w:hAnsi="Arial Narrow" w:cs="Arial"/>
          <w:bCs/>
        </w:rPr>
      </w:pPr>
      <w:r w:rsidRPr="005F2C03">
        <w:rPr>
          <w:rFonts w:ascii="Arial Narrow" w:hAnsi="Arial Narrow" w:cs="Arial"/>
          <w:bCs/>
        </w:rPr>
        <w:t>Lo anterior teniendo en cuenta que esta forma de participación también difiere frente a otros procesos de contratación, en el entendido que las compañías de seguros, al momento de presentarse a un proceso de contratación bajo estas modalidades lo hacen atendiendo el respaldo de sus reaseguradores, por lo que su participación corresponderá al porcentaje de respaldo que logren, por lo cual se puede observar existen diferentes porcentajes de participación.</w:t>
      </w:r>
    </w:p>
    <w:p w14:paraId="66A519C1" w14:textId="77777777" w:rsidR="00631DE0" w:rsidRPr="005F2C03" w:rsidRDefault="00631DE0" w:rsidP="00631DE0">
      <w:pPr>
        <w:pStyle w:val="Sinespaciado3"/>
        <w:spacing w:line="240" w:lineRule="atLeast"/>
        <w:ind w:right="-93"/>
        <w:jc w:val="both"/>
        <w:rPr>
          <w:rFonts w:ascii="Arial Narrow" w:hAnsi="Arial Narrow" w:cs="Arial"/>
          <w:bCs/>
        </w:rPr>
      </w:pPr>
    </w:p>
    <w:p w14:paraId="66D9EE35" w14:textId="77777777" w:rsidR="00631DE0" w:rsidRPr="005F2C03" w:rsidRDefault="00631DE0" w:rsidP="00631DE0">
      <w:pPr>
        <w:pStyle w:val="Sinespaciado3"/>
        <w:spacing w:line="240" w:lineRule="atLeast"/>
        <w:ind w:right="-93"/>
        <w:jc w:val="both"/>
        <w:rPr>
          <w:rFonts w:ascii="Arial Narrow" w:hAnsi="Arial Narrow" w:cs="Arial"/>
        </w:rPr>
      </w:pPr>
      <w:r w:rsidRPr="005F2C03">
        <w:rPr>
          <w:rFonts w:ascii="Arial Narrow" w:hAnsi="Arial Narrow" w:cs="Arial"/>
        </w:rPr>
        <w:t>A modo de ejemplo se cita el siguiente caso:</w:t>
      </w:r>
    </w:p>
    <w:p w14:paraId="51945313" w14:textId="77777777" w:rsidR="00631DE0" w:rsidRPr="005F2C03" w:rsidRDefault="00631DE0" w:rsidP="00631DE0">
      <w:pPr>
        <w:pStyle w:val="Sinespaciado3"/>
        <w:spacing w:line="240" w:lineRule="atLeast"/>
        <w:ind w:right="-93"/>
        <w:jc w:val="both"/>
        <w:rPr>
          <w:rFonts w:ascii="Arial Narrow" w:hAnsi="Arial Narrow" w:cs="Arial"/>
        </w:rPr>
      </w:pPr>
    </w:p>
    <w:p w14:paraId="4243E85A" w14:textId="77777777" w:rsidR="00631DE0" w:rsidRPr="005F2C03" w:rsidRDefault="00631DE0" w:rsidP="00631DE0">
      <w:pPr>
        <w:pStyle w:val="Sinespaciado3"/>
        <w:spacing w:line="240" w:lineRule="atLeast"/>
        <w:ind w:right="-93"/>
        <w:jc w:val="both"/>
        <w:rPr>
          <w:rFonts w:ascii="Arial Narrow" w:hAnsi="Arial Narrow" w:cs="Arial"/>
        </w:rPr>
      </w:pPr>
      <w:r w:rsidRPr="005F2C03">
        <w:rPr>
          <w:rFonts w:ascii="Arial Narrow" w:hAnsi="Arial Narrow" w:cs="Arial"/>
        </w:rPr>
        <w:t>CONTRATACIÓN DE PÓLIZAS DE TODO RIESGO DAÑOS MATERIALES, AUTOMÓVILES, RESPONSABILIDAD CIVIL EXTRACONTRACTUAL, RESPONSABILIDAD CIVIL SERVIDORES PÚBLICOS:</w:t>
      </w:r>
    </w:p>
    <w:p w14:paraId="4235A67A" w14:textId="77777777" w:rsidR="00631DE0" w:rsidRPr="005F2C03" w:rsidRDefault="00631DE0" w:rsidP="00631DE0">
      <w:pPr>
        <w:pStyle w:val="Sinespaciado3"/>
        <w:spacing w:line="240" w:lineRule="atLeast"/>
        <w:ind w:right="-93"/>
        <w:jc w:val="both"/>
        <w:rPr>
          <w:rFonts w:ascii="Arial Narrow" w:hAnsi="Arial Narrow" w:cs="Arial"/>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44"/>
        <w:gridCol w:w="2228"/>
        <w:gridCol w:w="2254"/>
        <w:gridCol w:w="2202"/>
      </w:tblGrid>
      <w:tr w:rsidR="00631DE0" w:rsidRPr="005F2C03" w14:paraId="0DE209FF" w14:textId="77777777" w:rsidTr="00631DE0">
        <w:trPr>
          <w:jc w:val="center"/>
        </w:trPr>
        <w:tc>
          <w:tcPr>
            <w:tcW w:w="2146" w:type="dxa"/>
            <w:tcBorders>
              <w:top w:val="single" w:sz="4" w:space="0" w:color="BFBFBF"/>
              <w:left w:val="single" w:sz="4" w:space="0" w:color="BFBFBF"/>
              <w:bottom w:val="single" w:sz="4" w:space="0" w:color="BFBFBF"/>
              <w:right w:val="single" w:sz="4" w:space="0" w:color="BFBFBF"/>
            </w:tcBorders>
            <w:shd w:val="clear" w:color="auto" w:fill="0F4761"/>
            <w:vAlign w:val="center"/>
          </w:tcPr>
          <w:p w14:paraId="1F4071BC" w14:textId="77777777" w:rsidR="00631DE0" w:rsidRPr="005F2C03" w:rsidRDefault="00631DE0">
            <w:pPr>
              <w:spacing w:line="240" w:lineRule="atLeast"/>
              <w:jc w:val="both"/>
              <w:rPr>
                <w:rFonts w:cs="Arial"/>
                <w:b/>
                <w:bCs/>
                <w:color w:val="FFFFFF"/>
              </w:rPr>
            </w:pPr>
          </w:p>
        </w:tc>
        <w:tc>
          <w:tcPr>
            <w:tcW w:w="2228" w:type="dxa"/>
            <w:tcBorders>
              <w:top w:val="single" w:sz="4" w:space="0" w:color="BFBFBF"/>
              <w:left w:val="single" w:sz="4" w:space="0" w:color="BFBFBF"/>
              <w:bottom w:val="single" w:sz="4" w:space="0" w:color="BFBFBF"/>
              <w:right w:val="single" w:sz="4" w:space="0" w:color="BFBFBF"/>
            </w:tcBorders>
            <w:shd w:val="clear" w:color="auto" w:fill="0F4761"/>
            <w:vAlign w:val="center"/>
            <w:hideMark/>
          </w:tcPr>
          <w:p w14:paraId="065803DB" w14:textId="77777777" w:rsidR="00631DE0" w:rsidRPr="005F2C03" w:rsidRDefault="00631DE0">
            <w:pPr>
              <w:spacing w:line="240" w:lineRule="atLeast"/>
              <w:jc w:val="both"/>
              <w:rPr>
                <w:rFonts w:cs="Arial"/>
                <w:b/>
                <w:bCs/>
                <w:color w:val="FFFFFF"/>
                <w:lang w:eastAsia="zh-CN"/>
              </w:rPr>
            </w:pPr>
            <w:r w:rsidRPr="005F2C03">
              <w:rPr>
                <w:rFonts w:cs="Arial"/>
                <w:b/>
                <w:bCs/>
                <w:color w:val="FFFFFF"/>
              </w:rPr>
              <w:t>ASEGURADORA 1</w:t>
            </w:r>
          </w:p>
        </w:tc>
        <w:tc>
          <w:tcPr>
            <w:tcW w:w="2254" w:type="dxa"/>
            <w:tcBorders>
              <w:top w:val="single" w:sz="4" w:space="0" w:color="BFBFBF"/>
              <w:left w:val="single" w:sz="4" w:space="0" w:color="BFBFBF"/>
              <w:bottom w:val="single" w:sz="4" w:space="0" w:color="BFBFBF"/>
              <w:right w:val="single" w:sz="4" w:space="0" w:color="BFBFBF"/>
            </w:tcBorders>
            <w:shd w:val="clear" w:color="auto" w:fill="0F4761"/>
            <w:vAlign w:val="center"/>
            <w:hideMark/>
          </w:tcPr>
          <w:p w14:paraId="799891C4" w14:textId="77777777" w:rsidR="00631DE0" w:rsidRPr="005F2C03" w:rsidRDefault="00631DE0">
            <w:pPr>
              <w:spacing w:line="240" w:lineRule="atLeast"/>
              <w:jc w:val="both"/>
              <w:rPr>
                <w:rFonts w:cs="Arial"/>
                <w:b/>
                <w:bCs/>
                <w:color w:val="FFFFFF"/>
                <w:lang w:eastAsia="es-ES"/>
              </w:rPr>
            </w:pPr>
            <w:r w:rsidRPr="005F2C03">
              <w:rPr>
                <w:rFonts w:cs="Arial"/>
                <w:b/>
                <w:bCs/>
                <w:color w:val="FFFFFF"/>
              </w:rPr>
              <w:t>ASEGURADORA 2</w:t>
            </w:r>
          </w:p>
        </w:tc>
        <w:tc>
          <w:tcPr>
            <w:tcW w:w="2202" w:type="dxa"/>
            <w:tcBorders>
              <w:top w:val="single" w:sz="4" w:space="0" w:color="BFBFBF"/>
              <w:left w:val="single" w:sz="4" w:space="0" w:color="BFBFBF"/>
              <w:bottom w:val="single" w:sz="4" w:space="0" w:color="BFBFBF"/>
              <w:right w:val="single" w:sz="4" w:space="0" w:color="BFBFBF"/>
            </w:tcBorders>
            <w:shd w:val="clear" w:color="auto" w:fill="0F4761"/>
            <w:vAlign w:val="center"/>
            <w:hideMark/>
          </w:tcPr>
          <w:p w14:paraId="6D1D08A8" w14:textId="77777777" w:rsidR="00631DE0" w:rsidRPr="005F2C03" w:rsidRDefault="00631DE0">
            <w:pPr>
              <w:spacing w:line="240" w:lineRule="atLeast"/>
              <w:jc w:val="both"/>
              <w:rPr>
                <w:rFonts w:cs="Arial"/>
                <w:b/>
                <w:bCs/>
                <w:color w:val="FFFFFF"/>
              </w:rPr>
            </w:pPr>
            <w:r w:rsidRPr="005F2C03">
              <w:rPr>
                <w:rFonts w:cs="Arial"/>
                <w:b/>
                <w:bCs/>
                <w:color w:val="FFFFFF"/>
              </w:rPr>
              <w:t>ASEGURADORA 3</w:t>
            </w:r>
          </w:p>
        </w:tc>
      </w:tr>
      <w:tr w:rsidR="00631DE0" w:rsidRPr="005F2C03" w14:paraId="04BF50F5" w14:textId="77777777" w:rsidTr="00631DE0">
        <w:trPr>
          <w:jc w:val="center"/>
        </w:trPr>
        <w:tc>
          <w:tcPr>
            <w:tcW w:w="21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33A643F2" w14:textId="77777777" w:rsidR="00631DE0" w:rsidRPr="005F2C03" w:rsidRDefault="00631DE0">
            <w:pPr>
              <w:spacing w:line="240" w:lineRule="atLeast"/>
              <w:jc w:val="both"/>
              <w:rPr>
                <w:rFonts w:cs="Arial"/>
                <w:b/>
                <w:bCs/>
              </w:rPr>
            </w:pPr>
            <w:r w:rsidRPr="005F2C03">
              <w:rPr>
                <w:rFonts w:cs="Arial"/>
              </w:rPr>
              <w:t>TRDM</w:t>
            </w:r>
          </w:p>
        </w:tc>
        <w:tc>
          <w:tcPr>
            <w:tcW w:w="2228"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C895942" w14:textId="77777777" w:rsidR="00631DE0" w:rsidRPr="005F2C03" w:rsidRDefault="00631DE0">
            <w:pPr>
              <w:spacing w:line="240" w:lineRule="atLeast"/>
              <w:jc w:val="both"/>
              <w:rPr>
                <w:rFonts w:cs="Arial"/>
              </w:rPr>
            </w:pPr>
            <w:r w:rsidRPr="005F2C03">
              <w:rPr>
                <w:rFonts w:cs="Arial"/>
              </w:rPr>
              <w:t>50%</w:t>
            </w:r>
          </w:p>
        </w:tc>
        <w:tc>
          <w:tcPr>
            <w:tcW w:w="225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C31F140" w14:textId="77777777" w:rsidR="00631DE0" w:rsidRPr="005F2C03" w:rsidRDefault="00631DE0">
            <w:pPr>
              <w:spacing w:line="240" w:lineRule="atLeast"/>
              <w:jc w:val="both"/>
              <w:rPr>
                <w:rFonts w:cs="Arial"/>
              </w:rPr>
            </w:pPr>
            <w:r w:rsidRPr="005F2C03">
              <w:rPr>
                <w:rFonts w:cs="Arial"/>
              </w:rPr>
              <w:t>30%</w:t>
            </w:r>
          </w:p>
        </w:tc>
        <w:tc>
          <w:tcPr>
            <w:tcW w:w="220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7300E788" w14:textId="77777777" w:rsidR="00631DE0" w:rsidRPr="005F2C03" w:rsidRDefault="00631DE0">
            <w:pPr>
              <w:spacing w:line="240" w:lineRule="atLeast"/>
              <w:jc w:val="both"/>
              <w:rPr>
                <w:rFonts w:cs="Arial"/>
              </w:rPr>
            </w:pPr>
            <w:r w:rsidRPr="005F2C03">
              <w:rPr>
                <w:rFonts w:cs="Arial"/>
              </w:rPr>
              <w:t>20%</w:t>
            </w:r>
          </w:p>
        </w:tc>
      </w:tr>
      <w:tr w:rsidR="00631DE0" w:rsidRPr="005F2C03" w14:paraId="5A8F513D" w14:textId="77777777" w:rsidTr="00631DE0">
        <w:trPr>
          <w:jc w:val="center"/>
        </w:trPr>
        <w:tc>
          <w:tcPr>
            <w:tcW w:w="2146" w:type="dxa"/>
            <w:tcBorders>
              <w:top w:val="single" w:sz="4" w:space="0" w:color="BFBFBF"/>
              <w:left w:val="single" w:sz="4" w:space="0" w:color="BFBFBF"/>
              <w:bottom w:val="single" w:sz="4" w:space="0" w:color="BFBFBF"/>
              <w:right w:val="single" w:sz="4" w:space="0" w:color="BFBFBF"/>
            </w:tcBorders>
            <w:vAlign w:val="center"/>
            <w:hideMark/>
          </w:tcPr>
          <w:p w14:paraId="3A9186EB" w14:textId="77777777" w:rsidR="00631DE0" w:rsidRPr="005F2C03" w:rsidRDefault="00631DE0">
            <w:pPr>
              <w:spacing w:line="240" w:lineRule="atLeast"/>
              <w:jc w:val="both"/>
              <w:rPr>
                <w:rFonts w:cs="Arial"/>
                <w:b/>
                <w:bCs/>
              </w:rPr>
            </w:pPr>
            <w:r w:rsidRPr="005F2C03">
              <w:rPr>
                <w:rFonts w:cs="Arial"/>
              </w:rPr>
              <w:t>AUTOS</w:t>
            </w:r>
          </w:p>
        </w:tc>
        <w:tc>
          <w:tcPr>
            <w:tcW w:w="2228" w:type="dxa"/>
            <w:tcBorders>
              <w:top w:val="single" w:sz="4" w:space="0" w:color="BFBFBF"/>
              <w:left w:val="single" w:sz="4" w:space="0" w:color="BFBFBF"/>
              <w:bottom w:val="single" w:sz="4" w:space="0" w:color="BFBFBF"/>
              <w:right w:val="single" w:sz="4" w:space="0" w:color="BFBFBF"/>
            </w:tcBorders>
            <w:vAlign w:val="center"/>
            <w:hideMark/>
          </w:tcPr>
          <w:p w14:paraId="7BF1BCE2" w14:textId="77777777" w:rsidR="00631DE0" w:rsidRPr="005F2C03" w:rsidRDefault="00631DE0">
            <w:pPr>
              <w:spacing w:line="240" w:lineRule="atLeast"/>
              <w:jc w:val="both"/>
              <w:rPr>
                <w:rFonts w:cs="Arial"/>
              </w:rPr>
            </w:pPr>
            <w:r w:rsidRPr="005F2C03">
              <w:rPr>
                <w:rFonts w:cs="Arial"/>
              </w:rPr>
              <w:t>90%</w:t>
            </w:r>
          </w:p>
        </w:tc>
        <w:tc>
          <w:tcPr>
            <w:tcW w:w="2254" w:type="dxa"/>
            <w:tcBorders>
              <w:top w:val="single" w:sz="4" w:space="0" w:color="BFBFBF"/>
              <w:left w:val="single" w:sz="4" w:space="0" w:color="BFBFBF"/>
              <w:bottom w:val="single" w:sz="4" w:space="0" w:color="BFBFBF"/>
              <w:right w:val="single" w:sz="4" w:space="0" w:color="BFBFBF"/>
            </w:tcBorders>
            <w:vAlign w:val="center"/>
            <w:hideMark/>
          </w:tcPr>
          <w:p w14:paraId="03E8304D" w14:textId="77777777" w:rsidR="00631DE0" w:rsidRPr="005F2C03" w:rsidRDefault="00631DE0">
            <w:pPr>
              <w:spacing w:line="240" w:lineRule="atLeast"/>
              <w:jc w:val="both"/>
              <w:rPr>
                <w:rFonts w:cs="Arial"/>
              </w:rPr>
            </w:pPr>
            <w:r w:rsidRPr="005F2C03">
              <w:rPr>
                <w:rFonts w:cs="Arial"/>
              </w:rPr>
              <w:t>10%</w:t>
            </w:r>
          </w:p>
        </w:tc>
        <w:tc>
          <w:tcPr>
            <w:tcW w:w="2202" w:type="dxa"/>
            <w:tcBorders>
              <w:top w:val="single" w:sz="4" w:space="0" w:color="BFBFBF"/>
              <w:left w:val="single" w:sz="4" w:space="0" w:color="BFBFBF"/>
              <w:bottom w:val="single" w:sz="4" w:space="0" w:color="BFBFBF"/>
              <w:right w:val="single" w:sz="4" w:space="0" w:color="BFBFBF"/>
            </w:tcBorders>
            <w:vAlign w:val="center"/>
            <w:hideMark/>
          </w:tcPr>
          <w:p w14:paraId="7D91B9BC" w14:textId="77777777" w:rsidR="00631DE0" w:rsidRPr="005F2C03" w:rsidRDefault="00631DE0">
            <w:pPr>
              <w:spacing w:line="240" w:lineRule="atLeast"/>
              <w:jc w:val="both"/>
              <w:rPr>
                <w:rFonts w:cs="Arial"/>
              </w:rPr>
            </w:pPr>
            <w:r w:rsidRPr="005F2C03">
              <w:rPr>
                <w:rFonts w:cs="Arial"/>
              </w:rPr>
              <w:t>0%</w:t>
            </w:r>
          </w:p>
        </w:tc>
      </w:tr>
      <w:tr w:rsidR="00631DE0" w:rsidRPr="005F2C03" w14:paraId="7346308B" w14:textId="77777777" w:rsidTr="00631DE0">
        <w:trPr>
          <w:jc w:val="center"/>
        </w:trPr>
        <w:tc>
          <w:tcPr>
            <w:tcW w:w="21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72C7963" w14:textId="77777777" w:rsidR="00631DE0" w:rsidRPr="005F2C03" w:rsidRDefault="00631DE0">
            <w:pPr>
              <w:spacing w:line="240" w:lineRule="atLeast"/>
              <w:jc w:val="both"/>
              <w:rPr>
                <w:rFonts w:cs="Arial"/>
                <w:b/>
                <w:bCs/>
              </w:rPr>
            </w:pPr>
            <w:r w:rsidRPr="005F2C03">
              <w:rPr>
                <w:rFonts w:cs="Arial"/>
              </w:rPr>
              <w:t>RCE</w:t>
            </w:r>
          </w:p>
        </w:tc>
        <w:tc>
          <w:tcPr>
            <w:tcW w:w="2228"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03997D8" w14:textId="77777777" w:rsidR="00631DE0" w:rsidRPr="005F2C03" w:rsidRDefault="00631DE0">
            <w:pPr>
              <w:spacing w:line="240" w:lineRule="atLeast"/>
              <w:jc w:val="both"/>
              <w:rPr>
                <w:rFonts w:cs="Arial"/>
              </w:rPr>
            </w:pPr>
            <w:r w:rsidRPr="005F2C03">
              <w:rPr>
                <w:rFonts w:cs="Arial"/>
              </w:rPr>
              <w:t>0%</w:t>
            </w:r>
          </w:p>
        </w:tc>
        <w:tc>
          <w:tcPr>
            <w:tcW w:w="225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C82FAE2" w14:textId="77777777" w:rsidR="00631DE0" w:rsidRPr="005F2C03" w:rsidRDefault="00631DE0">
            <w:pPr>
              <w:spacing w:line="240" w:lineRule="atLeast"/>
              <w:jc w:val="both"/>
              <w:rPr>
                <w:rFonts w:cs="Arial"/>
              </w:rPr>
            </w:pPr>
            <w:r w:rsidRPr="005F2C03">
              <w:rPr>
                <w:rFonts w:cs="Arial"/>
              </w:rPr>
              <w:t>80%</w:t>
            </w:r>
          </w:p>
        </w:tc>
        <w:tc>
          <w:tcPr>
            <w:tcW w:w="220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7DF7989" w14:textId="77777777" w:rsidR="00631DE0" w:rsidRPr="005F2C03" w:rsidRDefault="00631DE0">
            <w:pPr>
              <w:spacing w:line="240" w:lineRule="atLeast"/>
              <w:jc w:val="both"/>
              <w:rPr>
                <w:rFonts w:cs="Arial"/>
              </w:rPr>
            </w:pPr>
            <w:r w:rsidRPr="005F2C03">
              <w:rPr>
                <w:rFonts w:cs="Arial"/>
              </w:rPr>
              <w:t>20%</w:t>
            </w:r>
          </w:p>
        </w:tc>
      </w:tr>
      <w:tr w:rsidR="00631DE0" w:rsidRPr="005F2C03" w14:paraId="12C88F5D" w14:textId="77777777" w:rsidTr="00631DE0">
        <w:trPr>
          <w:jc w:val="center"/>
        </w:trPr>
        <w:tc>
          <w:tcPr>
            <w:tcW w:w="2146" w:type="dxa"/>
            <w:tcBorders>
              <w:top w:val="single" w:sz="4" w:space="0" w:color="BFBFBF"/>
              <w:left w:val="single" w:sz="4" w:space="0" w:color="BFBFBF"/>
              <w:bottom w:val="single" w:sz="4" w:space="0" w:color="BFBFBF"/>
              <w:right w:val="single" w:sz="4" w:space="0" w:color="BFBFBF"/>
            </w:tcBorders>
            <w:vAlign w:val="center"/>
            <w:hideMark/>
          </w:tcPr>
          <w:p w14:paraId="66C1320A" w14:textId="77777777" w:rsidR="00631DE0" w:rsidRPr="005F2C03" w:rsidRDefault="00631DE0">
            <w:pPr>
              <w:spacing w:line="240" w:lineRule="atLeast"/>
              <w:jc w:val="both"/>
              <w:rPr>
                <w:rFonts w:cs="Arial"/>
                <w:b/>
                <w:bCs/>
              </w:rPr>
            </w:pPr>
            <w:r w:rsidRPr="005F2C03">
              <w:rPr>
                <w:rFonts w:cs="Arial"/>
              </w:rPr>
              <w:t>RCSP</w:t>
            </w:r>
          </w:p>
        </w:tc>
        <w:tc>
          <w:tcPr>
            <w:tcW w:w="2228" w:type="dxa"/>
            <w:tcBorders>
              <w:top w:val="single" w:sz="4" w:space="0" w:color="BFBFBF"/>
              <w:left w:val="single" w:sz="4" w:space="0" w:color="BFBFBF"/>
              <w:bottom w:val="single" w:sz="4" w:space="0" w:color="BFBFBF"/>
              <w:right w:val="single" w:sz="4" w:space="0" w:color="BFBFBF"/>
            </w:tcBorders>
            <w:vAlign w:val="center"/>
            <w:hideMark/>
          </w:tcPr>
          <w:p w14:paraId="1CA9990E" w14:textId="77777777" w:rsidR="00631DE0" w:rsidRPr="005F2C03" w:rsidRDefault="00631DE0">
            <w:pPr>
              <w:spacing w:line="240" w:lineRule="atLeast"/>
              <w:jc w:val="both"/>
              <w:rPr>
                <w:rFonts w:cs="Arial"/>
              </w:rPr>
            </w:pPr>
            <w:r w:rsidRPr="005F2C03">
              <w:rPr>
                <w:rFonts w:cs="Arial"/>
              </w:rPr>
              <w:t>100%</w:t>
            </w:r>
          </w:p>
        </w:tc>
        <w:tc>
          <w:tcPr>
            <w:tcW w:w="2254" w:type="dxa"/>
            <w:tcBorders>
              <w:top w:val="single" w:sz="4" w:space="0" w:color="BFBFBF"/>
              <w:left w:val="single" w:sz="4" w:space="0" w:color="BFBFBF"/>
              <w:bottom w:val="single" w:sz="4" w:space="0" w:color="BFBFBF"/>
              <w:right w:val="single" w:sz="4" w:space="0" w:color="BFBFBF"/>
            </w:tcBorders>
            <w:vAlign w:val="center"/>
            <w:hideMark/>
          </w:tcPr>
          <w:p w14:paraId="31616562" w14:textId="77777777" w:rsidR="00631DE0" w:rsidRPr="005F2C03" w:rsidRDefault="00631DE0">
            <w:pPr>
              <w:spacing w:line="240" w:lineRule="atLeast"/>
              <w:jc w:val="both"/>
              <w:rPr>
                <w:rFonts w:cs="Arial"/>
              </w:rPr>
            </w:pPr>
            <w:r w:rsidRPr="005F2C03">
              <w:rPr>
                <w:rFonts w:cs="Arial"/>
              </w:rPr>
              <w:t>0%</w:t>
            </w:r>
          </w:p>
        </w:tc>
        <w:tc>
          <w:tcPr>
            <w:tcW w:w="2202" w:type="dxa"/>
            <w:tcBorders>
              <w:top w:val="single" w:sz="4" w:space="0" w:color="BFBFBF"/>
              <w:left w:val="single" w:sz="4" w:space="0" w:color="BFBFBF"/>
              <w:bottom w:val="single" w:sz="4" w:space="0" w:color="BFBFBF"/>
              <w:right w:val="single" w:sz="4" w:space="0" w:color="BFBFBF"/>
            </w:tcBorders>
            <w:vAlign w:val="center"/>
            <w:hideMark/>
          </w:tcPr>
          <w:p w14:paraId="007B3C65" w14:textId="77777777" w:rsidR="00631DE0" w:rsidRPr="005F2C03" w:rsidRDefault="00631DE0">
            <w:pPr>
              <w:spacing w:line="240" w:lineRule="atLeast"/>
              <w:jc w:val="both"/>
              <w:rPr>
                <w:rFonts w:cs="Arial"/>
              </w:rPr>
            </w:pPr>
            <w:r w:rsidRPr="005F2C03">
              <w:rPr>
                <w:rFonts w:cs="Arial"/>
              </w:rPr>
              <w:t>0%</w:t>
            </w:r>
          </w:p>
        </w:tc>
      </w:tr>
    </w:tbl>
    <w:p w14:paraId="33309DC2" w14:textId="77777777" w:rsidR="00631DE0" w:rsidRPr="005F2C03" w:rsidRDefault="00631DE0" w:rsidP="00631DE0">
      <w:pPr>
        <w:spacing w:line="240" w:lineRule="atLeast"/>
        <w:jc w:val="both"/>
        <w:rPr>
          <w:rFonts w:eastAsia="Times New Roman" w:cs="Arial"/>
          <w:lang w:val="es-ES_tradnl" w:eastAsia="es-ES"/>
        </w:rPr>
      </w:pPr>
    </w:p>
    <w:p w14:paraId="6B20D894" w14:textId="77777777" w:rsidR="00631DE0" w:rsidRPr="005F2C03" w:rsidRDefault="00631DE0" w:rsidP="00631DE0">
      <w:pPr>
        <w:spacing w:line="240" w:lineRule="atLeast"/>
        <w:jc w:val="both"/>
        <w:rPr>
          <w:rFonts w:cs="Arial"/>
          <w:lang w:val="es-ES"/>
        </w:rPr>
      </w:pPr>
      <w:r w:rsidRPr="005F2C03">
        <w:rPr>
          <w:rFonts w:cs="Arial"/>
        </w:rPr>
        <w:t>Así las cosas, los indicadores financieros serán calculados tomando la sumatoria de cada una de las partidas de los indicadores de cada uno de los integrantes del Consorcio o Unión Temporal.</w:t>
      </w:r>
    </w:p>
    <w:p w14:paraId="662197B1" w14:textId="77777777" w:rsidR="00631DE0" w:rsidRPr="005F2C03" w:rsidRDefault="00631DE0" w:rsidP="00631DE0">
      <w:pPr>
        <w:spacing w:line="240" w:lineRule="atLeast"/>
        <w:jc w:val="both"/>
        <w:rPr>
          <w:rFonts w:cs="Arial"/>
          <w:lang w:eastAsia="zh-CN"/>
        </w:rPr>
      </w:pPr>
    </w:p>
    <w:p w14:paraId="31C55584" w14:textId="1331DAC2" w:rsidR="00631DE0" w:rsidRPr="005F2C03" w:rsidRDefault="00631DE0" w:rsidP="00631DE0">
      <w:pPr>
        <w:spacing w:line="240" w:lineRule="atLeast"/>
        <w:jc w:val="center"/>
        <w:rPr>
          <w:rFonts w:cs="Arial"/>
          <w:lang w:eastAsia="es-ES"/>
        </w:rPr>
      </w:pPr>
      <w:r w:rsidRPr="005F2C03">
        <w:rPr>
          <w:rFonts w:cs="Arial"/>
          <w:noProof/>
        </w:rPr>
        <w:lastRenderedPageBreak/>
        <w:drawing>
          <wp:inline distT="0" distB="0" distL="0" distR="0" wp14:anchorId="5A4EECEA" wp14:editId="0D4B0CAC">
            <wp:extent cx="2647950" cy="621030"/>
            <wp:effectExtent l="0" t="0" r="0" b="7620"/>
            <wp:docPr id="1229676202" name="Imagen 5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Tabla&#10;&#10;Descripción generada automáticamen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7950" cy="621030"/>
                    </a:xfrm>
                    <a:prstGeom prst="rect">
                      <a:avLst/>
                    </a:prstGeom>
                    <a:noFill/>
                    <a:ln>
                      <a:noFill/>
                    </a:ln>
                  </pic:spPr>
                </pic:pic>
              </a:graphicData>
            </a:graphic>
          </wp:inline>
        </w:drawing>
      </w:r>
    </w:p>
    <w:p w14:paraId="7A6E7839" w14:textId="77777777" w:rsidR="00631DE0" w:rsidRPr="005F2C03" w:rsidRDefault="00631DE0" w:rsidP="00631DE0">
      <w:pPr>
        <w:spacing w:line="240" w:lineRule="atLeast"/>
        <w:jc w:val="both"/>
        <w:rPr>
          <w:rFonts w:eastAsia="Batang" w:cs="Arial"/>
        </w:rPr>
      </w:pPr>
    </w:p>
    <w:p w14:paraId="7B0729A6" w14:textId="77777777" w:rsidR="00631DE0" w:rsidRPr="005F2C03" w:rsidRDefault="00631DE0" w:rsidP="00631DE0">
      <w:pPr>
        <w:spacing w:line="240" w:lineRule="atLeast"/>
        <w:jc w:val="both"/>
        <w:rPr>
          <w:rFonts w:eastAsia="Batang" w:cs="Arial"/>
        </w:rPr>
      </w:pPr>
      <w:r w:rsidRPr="005F2C03">
        <w:rPr>
          <w:rFonts w:eastAsia="Batang" w:cs="Arial"/>
        </w:rPr>
        <w:t>El procedimiento para calcular los indicadores con valores absolutos como el Exceso de Patrimonio, se realizará con base en la siguiente formula.</w:t>
      </w:r>
    </w:p>
    <w:p w14:paraId="5CD5CAC0" w14:textId="77777777" w:rsidR="00631DE0" w:rsidRPr="005F2C03" w:rsidRDefault="00631DE0" w:rsidP="00631DE0">
      <w:pPr>
        <w:spacing w:line="240" w:lineRule="atLeast"/>
        <w:jc w:val="both"/>
        <w:rPr>
          <w:rFonts w:eastAsia="Batang" w:cs="Arial"/>
        </w:rPr>
      </w:pPr>
    </w:p>
    <w:p w14:paraId="352948BC" w14:textId="70837ECE" w:rsidR="00CA6A63" w:rsidRPr="005F2C03" w:rsidRDefault="00631DE0" w:rsidP="00631DE0">
      <w:pPr>
        <w:widowControl w:val="0"/>
        <w:tabs>
          <w:tab w:val="left" w:pos="3406"/>
        </w:tabs>
        <w:jc w:val="center"/>
        <w:rPr>
          <w:rFonts w:cs="Arial"/>
        </w:rPr>
      </w:pPr>
      <w:r w:rsidRPr="005F2C03">
        <w:rPr>
          <w:rFonts w:eastAsia="Batang" w:cs="Arial"/>
          <w:noProof/>
        </w:rPr>
        <w:drawing>
          <wp:inline distT="0" distB="0" distL="0" distR="0" wp14:anchorId="20E3C57F" wp14:editId="44579F35">
            <wp:extent cx="3132455" cy="382270"/>
            <wp:effectExtent l="0" t="0" r="0" b="0"/>
            <wp:docPr id="1228853137" name="Imagen 5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agen que contiene Texto&#10;&#10;Descripción generada automáticamen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32455" cy="382270"/>
                    </a:xfrm>
                    <a:prstGeom prst="rect">
                      <a:avLst/>
                    </a:prstGeom>
                    <a:noFill/>
                    <a:ln>
                      <a:noFill/>
                    </a:ln>
                  </pic:spPr>
                </pic:pic>
              </a:graphicData>
            </a:graphic>
          </wp:inline>
        </w:drawing>
      </w:r>
    </w:p>
    <w:p w14:paraId="13D85E27" w14:textId="77777777" w:rsidR="002C43B5" w:rsidRPr="005F2C03" w:rsidRDefault="002C43B5" w:rsidP="002C43B5">
      <w:pPr>
        <w:jc w:val="both"/>
        <w:rPr>
          <w:rFonts w:cs="Arial"/>
        </w:rPr>
      </w:pPr>
    </w:p>
    <w:p w14:paraId="52703F51" w14:textId="77777777" w:rsidR="004A12A1" w:rsidRPr="005F2C03" w:rsidRDefault="004A12A1" w:rsidP="002B1ADF">
      <w:pPr>
        <w:tabs>
          <w:tab w:val="left" w:pos="2282"/>
          <w:tab w:val="center" w:pos="4419"/>
        </w:tabs>
        <w:jc w:val="both"/>
        <w:rPr>
          <w:rFonts w:cs="Arial"/>
        </w:rPr>
      </w:pPr>
    </w:p>
    <w:p w14:paraId="6BC2BB92" w14:textId="07DB4B2C" w:rsidR="001D21F6" w:rsidRPr="005F2C03" w:rsidRDefault="001D21F6" w:rsidP="00252EB2">
      <w:pPr>
        <w:tabs>
          <w:tab w:val="left" w:pos="2282"/>
          <w:tab w:val="center" w:pos="4419"/>
        </w:tabs>
        <w:ind w:left="2282" w:hanging="2282"/>
        <w:jc w:val="center"/>
        <w:rPr>
          <w:rFonts w:cs="Arial"/>
          <w:b/>
          <w:bCs/>
        </w:rPr>
      </w:pPr>
      <w:r w:rsidRPr="005F2C03">
        <w:rPr>
          <w:rFonts w:cs="Arial"/>
          <w:b/>
          <w:bCs/>
        </w:rPr>
        <w:t>CAPÍTULO VIII</w:t>
      </w:r>
    </w:p>
    <w:p w14:paraId="0D1B9550" w14:textId="77777777" w:rsidR="001D21F6" w:rsidRPr="005F2C03" w:rsidRDefault="001D21F6" w:rsidP="001D21F6">
      <w:pPr>
        <w:tabs>
          <w:tab w:val="left" w:pos="2282"/>
          <w:tab w:val="center" w:pos="4419"/>
        </w:tabs>
        <w:jc w:val="center"/>
        <w:rPr>
          <w:rFonts w:cs="Arial"/>
          <w:b/>
          <w:bCs/>
        </w:rPr>
      </w:pPr>
    </w:p>
    <w:p w14:paraId="72329229" w14:textId="0D542742" w:rsidR="001D21F6" w:rsidRPr="005F2C03" w:rsidRDefault="001D21F6" w:rsidP="001D21F6">
      <w:pPr>
        <w:tabs>
          <w:tab w:val="left" w:pos="2282"/>
          <w:tab w:val="center" w:pos="4419"/>
        </w:tabs>
        <w:jc w:val="center"/>
        <w:rPr>
          <w:rFonts w:cs="Arial"/>
          <w:b/>
          <w:bCs/>
        </w:rPr>
      </w:pPr>
      <w:r w:rsidRPr="005F2C03">
        <w:rPr>
          <w:rFonts w:cs="Arial"/>
          <w:b/>
          <w:bCs/>
        </w:rPr>
        <w:t>OTROS ASPECTOS DE LA CONTRATACIÓN</w:t>
      </w:r>
    </w:p>
    <w:p w14:paraId="7E6104E3" w14:textId="77777777" w:rsidR="001D21F6" w:rsidRPr="005F2C03" w:rsidRDefault="001D21F6" w:rsidP="002B1ADF">
      <w:pPr>
        <w:tabs>
          <w:tab w:val="left" w:pos="2282"/>
          <w:tab w:val="center" w:pos="4419"/>
        </w:tabs>
        <w:jc w:val="both"/>
        <w:rPr>
          <w:rFonts w:cs="Arial"/>
        </w:rPr>
      </w:pPr>
    </w:p>
    <w:p w14:paraId="74AA37CE" w14:textId="7BC2B9DB" w:rsidR="009E0471" w:rsidRPr="005F2C03" w:rsidRDefault="0017095C" w:rsidP="009E0471">
      <w:pPr>
        <w:tabs>
          <w:tab w:val="left" w:pos="2282"/>
          <w:tab w:val="center" w:pos="4419"/>
        </w:tabs>
        <w:jc w:val="both"/>
        <w:rPr>
          <w:rFonts w:eastAsia="Times New Roman" w:cs="Arial"/>
          <w:b/>
          <w:bCs/>
        </w:rPr>
      </w:pPr>
      <w:r w:rsidRPr="005F2C03">
        <w:rPr>
          <w:rFonts w:cs="Arial"/>
          <w:b/>
          <w:bCs/>
          <w:lang w:val="es-ES_tradnl"/>
        </w:rPr>
        <w:t>APOYO A LA INDUSTRIA NACIONAL</w:t>
      </w:r>
      <w:r w:rsidR="009E0471" w:rsidRPr="005F2C03">
        <w:rPr>
          <w:rFonts w:cs="Arial"/>
          <w:b/>
          <w:bCs/>
          <w:lang w:val="es-ES_tradnl"/>
        </w:rPr>
        <w:t xml:space="preserve"> </w:t>
      </w:r>
    </w:p>
    <w:p w14:paraId="4AC5E784" w14:textId="412BC8E1" w:rsidR="00EA401F" w:rsidRPr="005F2C03" w:rsidRDefault="00EA401F" w:rsidP="002B1ADF">
      <w:pPr>
        <w:tabs>
          <w:tab w:val="left" w:pos="2282"/>
          <w:tab w:val="center" w:pos="4419"/>
        </w:tabs>
        <w:jc w:val="both"/>
        <w:rPr>
          <w:rFonts w:cs="Arial"/>
          <w:b/>
          <w:bCs/>
        </w:rPr>
      </w:pPr>
    </w:p>
    <w:p w14:paraId="25159E19" w14:textId="77777777" w:rsidR="00EA401F" w:rsidRPr="005F2C03" w:rsidRDefault="00EA401F" w:rsidP="00EA401F">
      <w:pPr>
        <w:ind w:right="17"/>
        <w:jc w:val="both"/>
        <w:rPr>
          <w:rFonts w:cs="Arial"/>
        </w:rPr>
      </w:pPr>
      <w:r w:rsidRPr="005F2C03">
        <w:rPr>
          <w:rFonts w:cs="Arial"/>
        </w:rPr>
        <w:t>Para la calificación de este aspecto tendrá en cuenta lo establecido en el artículo 2.2.1.2.4.2.1 del Decreto 1082 de 2015, que establece:</w:t>
      </w:r>
    </w:p>
    <w:p w14:paraId="495EEC57" w14:textId="77777777" w:rsidR="00EA401F" w:rsidRPr="005F2C03" w:rsidRDefault="00EA401F" w:rsidP="00EA401F">
      <w:pPr>
        <w:ind w:right="17"/>
        <w:jc w:val="both"/>
        <w:rPr>
          <w:rFonts w:cs="Arial"/>
          <w:lang w:val="es-ES"/>
        </w:rPr>
      </w:pPr>
    </w:p>
    <w:p w14:paraId="599D957A" w14:textId="77777777" w:rsidR="00EA401F" w:rsidRPr="005F2C03" w:rsidRDefault="00EA401F" w:rsidP="00EA401F">
      <w:pPr>
        <w:ind w:right="17"/>
        <w:jc w:val="both"/>
        <w:rPr>
          <w:rFonts w:cs="Arial"/>
          <w:i/>
          <w:iCs/>
        </w:rPr>
      </w:pPr>
      <w:r w:rsidRPr="005F2C03">
        <w:rPr>
          <w:rFonts w:cs="Arial"/>
          <w:i/>
          <w:iCs/>
        </w:rPr>
        <w:t>“Artículo 2.2.1.2.4.2.1.: Incentivos en la contratación pública.  La Entidad Estatal debe establecer en los pliegos de condiciones para la contratación, dentro de los criterios de calificación de las propuestas, los incentivos para los bienes, servicios y oferentes nacionales o aquellos considerados nacionales con ocasión de la existencia de trato nacional. Este incentivo no es aplicable en los procesos para la adquisición de Bienes y Servicios de Características Técnicas Uniformes”.</w:t>
      </w:r>
    </w:p>
    <w:p w14:paraId="0D7C5B4A" w14:textId="77777777" w:rsidR="00EA401F" w:rsidRPr="005F2C03" w:rsidRDefault="00EA401F" w:rsidP="00EA401F">
      <w:pPr>
        <w:ind w:right="17"/>
        <w:jc w:val="both"/>
        <w:rPr>
          <w:rFonts w:cs="Arial"/>
          <w:i/>
          <w:iCs/>
        </w:rPr>
      </w:pPr>
    </w:p>
    <w:p w14:paraId="76C6E3EC" w14:textId="77777777" w:rsidR="00EA401F" w:rsidRPr="005F2C03" w:rsidRDefault="00EA401F" w:rsidP="00EA401F">
      <w:pPr>
        <w:ind w:right="17"/>
        <w:jc w:val="both"/>
        <w:rPr>
          <w:rFonts w:cs="Arial"/>
        </w:rPr>
      </w:pPr>
      <w:r w:rsidRPr="005F2C03">
        <w:rPr>
          <w:rFonts w:cs="Arial"/>
        </w:rPr>
        <w:t>Los Proponentes pueden obtener el puntaje de apoyo a la industria nacional, por servicio origen nacional, trato nacional o por incorporación de servicios colombianos. En ningún caso otorgará simultáneamente el puntaje por Servicio Nacional y de incorporación de servicios colombianos en un Segmento. De acuerdo a lo anterior, los puntajes para estimular la industria nacional son:</w:t>
      </w:r>
    </w:p>
    <w:p w14:paraId="4722BDDC" w14:textId="77777777" w:rsidR="00EA401F" w:rsidRPr="005F2C03" w:rsidRDefault="00EA401F" w:rsidP="00EA401F">
      <w:pPr>
        <w:ind w:right="17"/>
        <w:rPr>
          <w:rFonts w:cs="Arial"/>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409"/>
        <w:gridCol w:w="1498"/>
      </w:tblGrid>
      <w:tr w:rsidR="00EA401F" w:rsidRPr="005F2C03" w14:paraId="287CCFBA" w14:textId="77777777" w:rsidTr="00EA401F">
        <w:trPr>
          <w:trHeight w:val="139"/>
          <w:jc w:val="center"/>
        </w:trPr>
        <w:tc>
          <w:tcPr>
            <w:tcW w:w="6907" w:type="dxa"/>
            <w:gridSpan w:val="2"/>
            <w:tcBorders>
              <w:top w:val="single" w:sz="4" w:space="0" w:color="BFBFBF"/>
              <w:left w:val="single" w:sz="4" w:space="0" w:color="BFBFBF"/>
              <w:bottom w:val="single" w:sz="4" w:space="0" w:color="BFBFBF"/>
              <w:right w:val="single" w:sz="4" w:space="0" w:color="BFBFBF"/>
            </w:tcBorders>
            <w:shd w:val="clear" w:color="auto" w:fill="B4C6E7"/>
            <w:hideMark/>
          </w:tcPr>
          <w:p w14:paraId="1ADA74C5" w14:textId="77777777" w:rsidR="00EA401F" w:rsidRPr="005F2C03" w:rsidRDefault="00EA401F">
            <w:pPr>
              <w:shd w:val="clear" w:color="auto" w:fill="B4C6E7"/>
              <w:jc w:val="center"/>
              <w:rPr>
                <w:rFonts w:cs="Arial"/>
                <w:b/>
                <w:bCs/>
              </w:rPr>
            </w:pPr>
            <w:r w:rsidRPr="005F2C03">
              <w:rPr>
                <w:rFonts w:cs="Arial"/>
                <w:b/>
                <w:bCs/>
              </w:rPr>
              <w:t>APOYO A LA INDUSTRIA NACIONAL</w:t>
            </w:r>
          </w:p>
          <w:p w14:paraId="49BE66DC" w14:textId="77777777" w:rsidR="00EA401F" w:rsidRPr="005F2C03" w:rsidRDefault="00EA401F">
            <w:pPr>
              <w:jc w:val="center"/>
              <w:rPr>
                <w:rFonts w:cs="Arial"/>
              </w:rPr>
            </w:pPr>
            <w:r w:rsidRPr="005F2C03">
              <w:rPr>
                <w:rFonts w:cs="Arial"/>
                <w:b/>
                <w:bCs/>
              </w:rPr>
              <w:t>Origen de los servicios ofrecidos por el proponente</w:t>
            </w:r>
          </w:p>
        </w:tc>
      </w:tr>
      <w:tr w:rsidR="00EA401F" w:rsidRPr="005F2C03" w14:paraId="7F5BE703" w14:textId="77777777" w:rsidTr="00EA401F">
        <w:trPr>
          <w:trHeight w:val="351"/>
          <w:jc w:val="center"/>
        </w:trPr>
        <w:tc>
          <w:tcPr>
            <w:tcW w:w="5409" w:type="dxa"/>
            <w:tcBorders>
              <w:top w:val="single" w:sz="4" w:space="0" w:color="BFBFBF"/>
              <w:left w:val="single" w:sz="4" w:space="0" w:color="BFBFBF"/>
              <w:bottom w:val="single" w:sz="4" w:space="0" w:color="BFBFBF"/>
              <w:right w:val="single" w:sz="4" w:space="0" w:color="BFBFBF"/>
            </w:tcBorders>
            <w:hideMark/>
          </w:tcPr>
          <w:p w14:paraId="5739E930" w14:textId="77777777" w:rsidR="00EA401F" w:rsidRPr="005F2C03" w:rsidRDefault="00EA401F">
            <w:pPr>
              <w:rPr>
                <w:rFonts w:cs="Arial"/>
              </w:rPr>
            </w:pPr>
            <w:r w:rsidRPr="005F2C03">
              <w:rPr>
                <w:rFonts w:cs="Arial"/>
              </w:rPr>
              <w:t>Servicio Origen Nacional o con trato nacional que vinculen el porcentaje mínimo (40%) del personal total empleados y/o contratistas por prestación de servicios colombianos asociados al cumplimiento del contrato.</w:t>
            </w:r>
          </w:p>
        </w:tc>
        <w:tc>
          <w:tcPr>
            <w:tcW w:w="1497" w:type="dxa"/>
            <w:tcBorders>
              <w:top w:val="single" w:sz="4" w:space="0" w:color="BFBFBF"/>
              <w:left w:val="single" w:sz="4" w:space="0" w:color="BFBFBF"/>
              <w:bottom w:val="single" w:sz="4" w:space="0" w:color="BFBFBF"/>
              <w:right w:val="single" w:sz="4" w:space="0" w:color="BFBFBF"/>
            </w:tcBorders>
            <w:vAlign w:val="center"/>
            <w:hideMark/>
          </w:tcPr>
          <w:p w14:paraId="63B3AF60" w14:textId="77777777" w:rsidR="00EA401F" w:rsidRPr="005F2C03" w:rsidRDefault="00EA401F">
            <w:pPr>
              <w:jc w:val="center"/>
              <w:rPr>
                <w:rFonts w:cs="Arial"/>
              </w:rPr>
            </w:pPr>
            <w:r w:rsidRPr="005F2C03">
              <w:rPr>
                <w:rFonts w:cs="Arial"/>
                <w:bdr w:val="none" w:sz="0" w:space="0" w:color="auto" w:frame="1"/>
              </w:rPr>
              <w:t>10</w:t>
            </w:r>
          </w:p>
        </w:tc>
      </w:tr>
      <w:tr w:rsidR="00EA401F" w:rsidRPr="005F2C03" w14:paraId="56CC911B" w14:textId="77777777" w:rsidTr="00EA401F">
        <w:trPr>
          <w:trHeight w:val="21"/>
          <w:jc w:val="center"/>
        </w:trPr>
        <w:tc>
          <w:tcPr>
            <w:tcW w:w="5409" w:type="dxa"/>
            <w:tcBorders>
              <w:top w:val="single" w:sz="4" w:space="0" w:color="BFBFBF"/>
              <w:left w:val="single" w:sz="4" w:space="0" w:color="BFBFBF"/>
              <w:bottom w:val="single" w:sz="4" w:space="0" w:color="BFBFBF"/>
              <w:right w:val="single" w:sz="4" w:space="0" w:color="BFBFBF"/>
            </w:tcBorders>
            <w:hideMark/>
          </w:tcPr>
          <w:p w14:paraId="03BA68F0" w14:textId="77777777" w:rsidR="00EA401F" w:rsidRPr="005F2C03" w:rsidRDefault="00EA401F">
            <w:pPr>
              <w:rPr>
                <w:rFonts w:cs="Arial"/>
              </w:rPr>
            </w:pPr>
            <w:r w:rsidRPr="005F2C03">
              <w:rPr>
                <w:rFonts w:cs="Arial"/>
              </w:rPr>
              <w:t>Proponente extranjero (no es origen nacional ni con trato nacional) que incorporen por lo menos el 90% del personal total empleados y/o contratistas por prestación de servicios colombianos asociados al cumplimiento del contrato.</w:t>
            </w:r>
          </w:p>
        </w:tc>
        <w:tc>
          <w:tcPr>
            <w:tcW w:w="1497" w:type="dxa"/>
            <w:tcBorders>
              <w:top w:val="single" w:sz="4" w:space="0" w:color="BFBFBF"/>
              <w:left w:val="single" w:sz="4" w:space="0" w:color="BFBFBF"/>
              <w:bottom w:val="single" w:sz="4" w:space="0" w:color="BFBFBF"/>
              <w:right w:val="single" w:sz="4" w:space="0" w:color="BFBFBF"/>
            </w:tcBorders>
            <w:vAlign w:val="center"/>
            <w:hideMark/>
          </w:tcPr>
          <w:p w14:paraId="215862A1" w14:textId="77777777" w:rsidR="00EA401F" w:rsidRPr="005F2C03" w:rsidRDefault="00EA401F">
            <w:pPr>
              <w:jc w:val="center"/>
              <w:rPr>
                <w:rFonts w:cs="Arial"/>
              </w:rPr>
            </w:pPr>
            <w:r w:rsidRPr="005F2C03">
              <w:rPr>
                <w:rFonts w:cs="Arial"/>
                <w:bdr w:val="none" w:sz="0" w:space="0" w:color="auto" w:frame="1"/>
              </w:rPr>
              <w:t>5</w:t>
            </w:r>
          </w:p>
        </w:tc>
      </w:tr>
    </w:tbl>
    <w:p w14:paraId="00E791C1" w14:textId="77777777" w:rsidR="00EA401F" w:rsidRPr="005F2C03" w:rsidRDefault="00EA401F" w:rsidP="00EA401F">
      <w:pPr>
        <w:ind w:right="17"/>
        <w:rPr>
          <w:rFonts w:eastAsia="Calibri" w:cs="Arial"/>
          <w:lang w:val="es-ES_tradnl" w:eastAsia="ar-SA"/>
        </w:rPr>
      </w:pPr>
    </w:p>
    <w:p w14:paraId="4ECF3D87" w14:textId="77777777" w:rsidR="00EA401F" w:rsidRPr="005F2C03" w:rsidRDefault="00EA401F">
      <w:pPr>
        <w:numPr>
          <w:ilvl w:val="0"/>
          <w:numId w:val="16"/>
        </w:numPr>
        <w:suppressAutoHyphens/>
        <w:spacing w:after="200"/>
        <w:ind w:right="17"/>
        <w:jc w:val="both"/>
        <w:rPr>
          <w:rFonts w:eastAsia="Calibri" w:cs="Arial"/>
          <w:u w:val="single"/>
        </w:rPr>
      </w:pPr>
      <w:r w:rsidRPr="005F2C03">
        <w:rPr>
          <w:rFonts w:cs="Arial"/>
          <w:u w:val="single"/>
        </w:rPr>
        <w:t>Servicio Origen Nacional o con Trato Nacional</w:t>
      </w:r>
    </w:p>
    <w:p w14:paraId="7F784885" w14:textId="77777777" w:rsidR="00EA401F" w:rsidRPr="005F2C03" w:rsidRDefault="00EA401F" w:rsidP="00EA401F">
      <w:pPr>
        <w:jc w:val="both"/>
        <w:rPr>
          <w:rFonts w:eastAsia="Times New Roman" w:cs="Arial"/>
          <w:lang w:val="es-ES" w:eastAsia="es-ES"/>
        </w:rPr>
      </w:pPr>
      <w:r w:rsidRPr="005F2C03">
        <w:rPr>
          <w:rFonts w:cs="Arial"/>
        </w:rPr>
        <w:t>De conformidad con lo dispuesto en el Artículo 2.2.1.2.4.2.9 del decreto 1082 de 2015, adicionado por el art. 1, Decreto Nacional 680 de 2021, sobre “puntaje para la promoción de la industria nacional en los Procesos de Contratación de servicios.”, se asignará 10 puntos a la Oferta de servicios nacionales o servicios extranjeros con trato nacional. Para otorgar el puntaje de servicios origen nacional, el Proponente debe tener en cuenta las siguientes reglas de origen con los documentos que se detallan en cada uno de los siguientes numerales, dichos documentos deben ser presentados con la oferta.</w:t>
      </w:r>
    </w:p>
    <w:p w14:paraId="448311E0" w14:textId="77777777" w:rsidR="00EA401F" w:rsidRPr="005F2C03" w:rsidRDefault="00EA401F" w:rsidP="00EA401F">
      <w:pPr>
        <w:rPr>
          <w:rFonts w:cs="Arial"/>
        </w:rPr>
      </w:pPr>
    </w:p>
    <w:p w14:paraId="73518614" w14:textId="77777777" w:rsidR="00EA401F" w:rsidRPr="005F2C03" w:rsidRDefault="00EA401F">
      <w:pPr>
        <w:pStyle w:val="Prrafodelista"/>
        <w:numPr>
          <w:ilvl w:val="0"/>
          <w:numId w:val="17"/>
        </w:numPr>
        <w:spacing w:after="160"/>
        <w:jc w:val="both"/>
        <w:rPr>
          <w:rFonts w:cs="Arial"/>
        </w:rPr>
      </w:pPr>
      <w:r w:rsidRPr="005F2C03">
        <w:rPr>
          <w:rFonts w:cs="Arial"/>
        </w:rPr>
        <w:t>Personas Naturales Colombianas. Acreditarán su nacionalidad a través de la cédula de ciudadanía correspondiente, la cual se deberá aportar con la oferta en copia.</w:t>
      </w:r>
    </w:p>
    <w:p w14:paraId="1991A6F4" w14:textId="77777777" w:rsidR="00EA401F" w:rsidRPr="005F2C03" w:rsidRDefault="00EA401F">
      <w:pPr>
        <w:pStyle w:val="Prrafodelista"/>
        <w:numPr>
          <w:ilvl w:val="0"/>
          <w:numId w:val="17"/>
        </w:numPr>
        <w:spacing w:after="200"/>
        <w:jc w:val="both"/>
        <w:rPr>
          <w:rFonts w:cs="Arial"/>
        </w:rPr>
      </w:pPr>
      <w:r w:rsidRPr="005F2C03">
        <w:rPr>
          <w:rFonts w:cs="Arial"/>
        </w:rPr>
        <w:t>Residente en Colombia. La Entidad verificará la visa de residencia que le permita la ejecución del objeto contractual de conformidad con la ley. Debe allegarlo</w:t>
      </w:r>
    </w:p>
    <w:p w14:paraId="03BE9185" w14:textId="77777777" w:rsidR="00EA401F" w:rsidRPr="005F2C03" w:rsidRDefault="00EA401F">
      <w:pPr>
        <w:pStyle w:val="Prrafodelista"/>
        <w:numPr>
          <w:ilvl w:val="0"/>
          <w:numId w:val="17"/>
        </w:numPr>
        <w:spacing w:after="200"/>
        <w:jc w:val="both"/>
        <w:rPr>
          <w:rFonts w:cs="Arial"/>
        </w:rPr>
      </w:pPr>
      <w:r w:rsidRPr="005F2C03">
        <w:rPr>
          <w:rFonts w:cs="Arial"/>
        </w:rPr>
        <w:t>Por una persona jurídica constituida de conformidad con la legislación colombiana. La Entidad verificará el Certificado de existencia y Representación Legal.</w:t>
      </w:r>
    </w:p>
    <w:p w14:paraId="40E15B9B" w14:textId="77777777" w:rsidR="00EA401F" w:rsidRPr="005F2C03" w:rsidRDefault="00EA401F">
      <w:pPr>
        <w:pStyle w:val="Prrafodelista"/>
        <w:numPr>
          <w:ilvl w:val="0"/>
          <w:numId w:val="17"/>
        </w:numPr>
        <w:spacing w:after="200"/>
        <w:jc w:val="both"/>
        <w:rPr>
          <w:rFonts w:cs="Arial"/>
        </w:rPr>
      </w:pPr>
      <w:r w:rsidRPr="005F2C03">
        <w:rPr>
          <w:rFonts w:cs="Arial"/>
        </w:rPr>
        <w:t>Por un proponente plural conformado por estos o por estos y un extranjero con trato nacional. La Entidad evaluará al extranjero con trato nacional de conformidad con los criterios del artículo 2.2.1.2.4.1.3. del Decreto 1082 de 2015, las personas jurídicas extranjeras recibirán trato nacional cuando se cumpla alguna de las siguientes tres condiciones, para lo cual se verificará por la Entidad en el orden que se relaciona y de manera excluyente: 1) que a persona jurídica extranjera provenga de un país con el cual exista algún Acuerdo Comercial de los señalados en el presente documento; 2) que exista certificado de Trato Nacional por Reciprocidad expedido por el Ministerio de Relaciones Exteriores de Colombia con el país del cual es originario la persona jurídica extranjera; o 3) que la persona jurídica extranjera provenga de un país miembro de la Comunidad Andina.</w:t>
      </w:r>
    </w:p>
    <w:p w14:paraId="20841D4E" w14:textId="77777777" w:rsidR="00EA401F" w:rsidRPr="005F2C03" w:rsidRDefault="00EA401F" w:rsidP="00EA401F">
      <w:pPr>
        <w:pStyle w:val="Prrafodelista"/>
        <w:jc w:val="both"/>
        <w:rPr>
          <w:rFonts w:cs="Arial"/>
        </w:rPr>
      </w:pPr>
    </w:p>
    <w:p w14:paraId="07650491" w14:textId="77777777" w:rsidR="00EA401F" w:rsidRPr="005F2C03" w:rsidRDefault="00EA401F" w:rsidP="00EA401F">
      <w:pPr>
        <w:jc w:val="both"/>
        <w:rPr>
          <w:rFonts w:cs="Arial"/>
        </w:rPr>
      </w:pPr>
      <w:r w:rsidRPr="005F2C03">
        <w:rPr>
          <w:rFonts w:cs="Arial"/>
        </w:rPr>
        <w:t xml:space="preserve">El proponente que oferte los 10 puntos deberá diligenciar el formato aportado por la entidad denominado “FORMATO APOYO A LA INDUSTRIA NACIONAL” y manifestar bajo la gravedad del juramento que, en caso de resultar adjudicatario, para la ejecución del objeto contractual destinará un porcentaje de empleados o contratistas por prestación de servicios colombianos, de al menos el cuarenta por ciento (40%) del total del personal requerido para el cumplimiento del Contrato. </w:t>
      </w:r>
    </w:p>
    <w:p w14:paraId="496CF03D" w14:textId="77777777" w:rsidR="00EA401F" w:rsidRPr="005F2C03" w:rsidRDefault="00EA401F" w:rsidP="00EA401F">
      <w:pPr>
        <w:jc w:val="both"/>
        <w:rPr>
          <w:rFonts w:cs="Arial"/>
        </w:rPr>
      </w:pPr>
    </w:p>
    <w:p w14:paraId="73492B86" w14:textId="77777777" w:rsidR="00EA401F" w:rsidRPr="005F2C03" w:rsidRDefault="00EA401F" w:rsidP="00EA401F">
      <w:pPr>
        <w:jc w:val="both"/>
        <w:rPr>
          <w:rFonts w:cs="Arial"/>
        </w:rPr>
      </w:pPr>
      <w:r w:rsidRPr="005F2C03">
        <w:rPr>
          <w:rFonts w:cs="Arial"/>
        </w:rPr>
        <w:t>En el evento que un proponente de origen extranjero sin trato nacional diligencie este formato se entenderá no presentado y no se otorgará puntaje.</w:t>
      </w:r>
    </w:p>
    <w:p w14:paraId="5917ABF0" w14:textId="77777777" w:rsidR="00EA401F" w:rsidRPr="005F2C03" w:rsidRDefault="00EA401F" w:rsidP="00EA401F">
      <w:pPr>
        <w:jc w:val="both"/>
        <w:rPr>
          <w:rFonts w:cs="Arial"/>
        </w:rPr>
      </w:pPr>
    </w:p>
    <w:p w14:paraId="7C2C048E" w14:textId="77777777" w:rsidR="00EA401F" w:rsidRPr="005F2C03" w:rsidRDefault="00EA401F" w:rsidP="00EA401F">
      <w:pPr>
        <w:jc w:val="both"/>
        <w:rPr>
          <w:rFonts w:cs="Arial"/>
        </w:rPr>
      </w:pPr>
      <w:r w:rsidRPr="005F2C03">
        <w:rPr>
          <w:rFonts w:cs="Arial"/>
        </w:rPr>
        <w:t>FIGURA ASOCIATIVA: La Entidad asignará diez (10) puntos a un Proponente Plural cuando todos sus integrantes cumplan con las anteriores condiciones. Cuando uno de sus integrantes no cumpla con las condiciones descritas no obtendrá puntaje por Servicios Nacionales o Trato Nacional.</w:t>
      </w:r>
    </w:p>
    <w:p w14:paraId="3FB7AAC8" w14:textId="77777777" w:rsidR="00EA401F" w:rsidRPr="005F2C03" w:rsidRDefault="00EA401F" w:rsidP="00EA401F">
      <w:pPr>
        <w:jc w:val="both"/>
        <w:rPr>
          <w:rFonts w:cs="Arial"/>
        </w:rPr>
      </w:pPr>
    </w:p>
    <w:p w14:paraId="041F836A" w14:textId="77777777" w:rsidR="00EA401F" w:rsidRPr="005F2C03" w:rsidRDefault="00EA401F" w:rsidP="00EA401F">
      <w:pPr>
        <w:jc w:val="both"/>
        <w:rPr>
          <w:rFonts w:cs="Arial"/>
        </w:rPr>
      </w:pPr>
      <w:r w:rsidRPr="005F2C03">
        <w:rPr>
          <w:rFonts w:cs="Arial"/>
        </w:rPr>
        <w:t xml:space="preserve">Solo debe diligenciar un formato por la figura asociativa y debe leer las instrucciones al inicio del mismo. </w:t>
      </w:r>
    </w:p>
    <w:p w14:paraId="48013B4B" w14:textId="77777777" w:rsidR="00EA401F" w:rsidRPr="005F2C03" w:rsidRDefault="00EA401F" w:rsidP="00EA401F">
      <w:pPr>
        <w:jc w:val="both"/>
        <w:rPr>
          <w:rFonts w:cs="Arial"/>
        </w:rPr>
      </w:pPr>
    </w:p>
    <w:p w14:paraId="724C9884" w14:textId="77777777" w:rsidR="00EA401F" w:rsidRPr="005F2C03" w:rsidRDefault="00EA401F">
      <w:pPr>
        <w:pStyle w:val="Prrafodelista"/>
        <w:numPr>
          <w:ilvl w:val="0"/>
          <w:numId w:val="18"/>
        </w:numPr>
        <w:spacing w:after="160"/>
        <w:ind w:left="567"/>
        <w:jc w:val="both"/>
        <w:rPr>
          <w:rFonts w:cs="Arial"/>
          <w:u w:val="single"/>
        </w:rPr>
      </w:pPr>
      <w:r w:rsidRPr="005F2C03">
        <w:rPr>
          <w:rFonts w:cs="Arial"/>
          <w:u w:val="single"/>
        </w:rPr>
        <w:t>Puntaje por incorporación de servicios colombianos para extranjeros sin trato nacional</w:t>
      </w:r>
    </w:p>
    <w:p w14:paraId="7F83EBD9" w14:textId="77777777" w:rsidR="00EA401F" w:rsidRPr="005F2C03" w:rsidRDefault="00EA401F" w:rsidP="00EA401F">
      <w:pPr>
        <w:pStyle w:val="Prrafodelista"/>
        <w:rPr>
          <w:rFonts w:cs="Arial"/>
        </w:rPr>
      </w:pPr>
    </w:p>
    <w:p w14:paraId="02FBD341" w14:textId="77777777" w:rsidR="00EA401F" w:rsidRPr="005F2C03" w:rsidRDefault="00EA401F" w:rsidP="00EA401F">
      <w:pPr>
        <w:pStyle w:val="Prrafodelista"/>
        <w:ind w:left="0"/>
        <w:jc w:val="both"/>
        <w:rPr>
          <w:rFonts w:cs="Arial"/>
        </w:rPr>
      </w:pPr>
      <w:r w:rsidRPr="005F2C03">
        <w:rPr>
          <w:rFonts w:cs="Arial"/>
        </w:rPr>
        <w:lastRenderedPageBreak/>
        <w:t xml:space="preserve">Puntaje por incorporación de servicios colombianos, si el Proponente no es origen nacional ni con trato nacional, según el criterio del literal A, se asignará cinco (5) puntos a los Proponentes extranjeros que incorporen por lo menos el 90% de empleados y/o contratistas por prestación de servicios colombianos asociados al cumplimiento del contrato. En caso de recibir estos cinco (5) puntos, el proponente debe garantizar que no disminuirá dicho porcentaje durante la ejecución del Contrato. </w:t>
      </w:r>
    </w:p>
    <w:p w14:paraId="11E41BFD" w14:textId="77777777" w:rsidR="00EA401F" w:rsidRPr="005F2C03" w:rsidRDefault="00EA401F" w:rsidP="00EA401F">
      <w:pPr>
        <w:pStyle w:val="Prrafodelista"/>
        <w:jc w:val="both"/>
        <w:rPr>
          <w:rFonts w:cs="Arial"/>
        </w:rPr>
      </w:pPr>
    </w:p>
    <w:p w14:paraId="7712754D" w14:textId="2E26108E" w:rsidR="00EA401F" w:rsidRPr="005F2C03" w:rsidRDefault="00EA401F" w:rsidP="00EA401F">
      <w:pPr>
        <w:pStyle w:val="Prrafodelista"/>
        <w:ind w:left="0"/>
        <w:jc w:val="both"/>
        <w:rPr>
          <w:rFonts w:cs="Arial"/>
        </w:rPr>
      </w:pPr>
      <w:r w:rsidRPr="005F2C03">
        <w:rPr>
          <w:rFonts w:cs="Arial"/>
        </w:rPr>
        <w:t>Por lo anterior, este puntaje solo se otorgará a las personas extrajeras sin trato nacional ni reciprocidad, para lo cual deberá diligenciar el formato aportado por la Entidad denominado “</w:t>
      </w:r>
      <w:r w:rsidRPr="005F2C03">
        <w:rPr>
          <w:rFonts w:cs="Arial"/>
          <w:i/>
          <w:iCs/>
        </w:rPr>
        <w:t>FORMAT</w:t>
      </w:r>
      <w:r w:rsidR="00751307" w:rsidRPr="005F2C03">
        <w:rPr>
          <w:rFonts w:cs="Arial"/>
          <w:i/>
          <w:iCs/>
        </w:rPr>
        <w:t xml:space="preserve">O </w:t>
      </w:r>
      <w:r w:rsidRPr="005F2C03">
        <w:rPr>
          <w:rFonts w:cs="Arial"/>
          <w:i/>
          <w:iCs/>
        </w:rPr>
        <w:t xml:space="preserve"> APOYO A LA INDUSTRIA NACIONAL”</w:t>
      </w:r>
      <w:r w:rsidRPr="005F2C03">
        <w:rPr>
          <w:rFonts w:cs="Arial"/>
        </w:rPr>
        <w:t>, en el evento que un proponente de origen nacional o con trato nacional diligencie este formato se entenderá no presentado y no se le otorgará puntaje.</w:t>
      </w:r>
    </w:p>
    <w:p w14:paraId="1A2B0B41" w14:textId="77777777" w:rsidR="00EA401F" w:rsidRPr="005F2C03" w:rsidRDefault="00EA401F" w:rsidP="00EA401F">
      <w:pPr>
        <w:pStyle w:val="Prrafodelista"/>
        <w:ind w:left="0"/>
        <w:jc w:val="both"/>
        <w:rPr>
          <w:rFonts w:cs="Arial"/>
        </w:rPr>
      </w:pPr>
    </w:p>
    <w:p w14:paraId="005B6EE5" w14:textId="77777777" w:rsidR="00EA401F" w:rsidRPr="005F2C03" w:rsidRDefault="00EA401F" w:rsidP="00EA401F">
      <w:pPr>
        <w:jc w:val="both"/>
        <w:rPr>
          <w:rFonts w:cs="Arial"/>
        </w:rPr>
      </w:pPr>
      <w:r w:rsidRPr="005F2C03">
        <w:rPr>
          <w:rFonts w:cs="Arial"/>
        </w:rPr>
        <w:t>En caso de no presentar el formato o presentarlo de manera incorrecta no se otorgará puntaje.</w:t>
      </w:r>
    </w:p>
    <w:p w14:paraId="4EB9F619" w14:textId="77777777" w:rsidR="00EA401F" w:rsidRPr="005F2C03" w:rsidRDefault="00EA401F" w:rsidP="00EA401F">
      <w:pPr>
        <w:jc w:val="both"/>
        <w:rPr>
          <w:rFonts w:cs="Arial"/>
        </w:rPr>
      </w:pPr>
    </w:p>
    <w:p w14:paraId="4F22EBAF" w14:textId="4C1BDFC7" w:rsidR="00EA401F" w:rsidRPr="005F2C03" w:rsidRDefault="00EA401F" w:rsidP="00EA401F">
      <w:pPr>
        <w:jc w:val="both"/>
        <w:rPr>
          <w:rFonts w:cs="Arial"/>
        </w:rPr>
      </w:pPr>
      <w:r w:rsidRPr="005F2C03">
        <w:rPr>
          <w:rFonts w:cs="Arial"/>
        </w:rPr>
        <w:t>FIGURA ASOCIATIVA: Si un oferente está conformado por un integrante extranjero que no tiene trato nacional y otro (s) que, si tengan un servicio nacional a ofertar, deberá diligenciar el Formato “FORMATO APOYO A LA INDUSTRIA NACIONAL” y se le otorgará al oferente plural solo 5 puntos, ya que prima la suerte del extranjero sin trato nacional.</w:t>
      </w:r>
    </w:p>
    <w:p w14:paraId="14588121" w14:textId="77777777" w:rsidR="001D21F6" w:rsidRPr="005F2C03" w:rsidRDefault="001D21F6" w:rsidP="001D21F6">
      <w:pPr>
        <w:tabs>
          <w:tab w:val="left" w:pos="2282"/>
          <w:tab w:val="center" w:pos="4419"/>
        </w:tabs>
        <w:jc w:val="both"/>
        <w:rPr>
          <w:rFonts w:cs="Arial"/>
          <w:b/>
          <w:bCs/>
        </w:rPr>
      </w:pPr>
    </w:p>
    <w:p w14:paraId="36BD580B" w14:textId="39F558B2" w:rsidR="00EA401F" w:rsidRPr="005F2C03" w:rsidRDefault="009E0471" w:rsidP="001D21F6">
      <w:pPr>
        <w:tabs>
          <w:tab w:val="left" w:pos="2282"/>
          <w:tab w:val="center" w:pos="4419"/>
        </w:tabs>
        <w:jc w:val="both"/>
        <w:rPr>
          <w:rFonts w:cs="Arial"/>
          <w:b/>
          <w:bCs/>
        </w:rPr>
      </w:pPr>
      <w:r w:rsidRPr="005F2C03">
        <w:rPr>
          <w:rFonts w:cs="Arial"/>
          <w:b/>
          <w:bCs/>
        </w:rPr>
        <w:t>INCENTIVO POR PERSONAL CON DISCAPACIDAD (FORMATO No.</w:t>
      </w:r>
      <w:r w:rsidR="009C08FD" w:rsidRPr="005F2C03">
        <w:rPr>
          <w:rFonts w:cs="Arial"/>
          <w:b/>
          <w:bCs/>
        </w:rPr>
        <w:t xml:space="preserve"> 12</w:t>
      </w:r>
      <w:r w:rsidRPr="005F2C03">
        <w:rPr>
          <w:rFonts w:cs="Arial"/>
          <w:b/>
          <w:bCs/>
        </w:rPr>
        <w:t>)</w:t>
      </w:r>
    </w:p>
    <w:p w14:paraId="516D7542" w14:textId="77777777" w:rsidR="00EA401F" w:rsidRPr="005F2C03" w:rsidRDefault="00EA401F" w:rsidP="002B1ADF">
      <w:pPr>
        <w:tabs>
          <w:tab w:val="left" w:pos="2282"/>
          <w:tab w:val="center" w:pos="4419"/>
        </w:tabs>
        <w:jc w:val="both"/>
        <w:rPr>
          <w:rFonts w:cs="Arial"/>
          <w:b/>
          <w:bCs/>
        </w:rPr>
      </w:pPr>
    </w:p>
    <w:p w14:paraId="71069FE0" w14:textId="3CAB1966" w:rsidR="00EA401F" w:rsidRPr="005F2C03" w:rsidRDefault="00EA401F" w:rsidP="00EA401F">
      <w:pPr>
        <w:ind w:right="51"/>
        <w:jc w:val="both"/>
        <w:rPr>
          <w:rFonts w:eastAsia="Arial" w:cs="Arial"/>
          <w:lang w:eastAsia="zh-CN"/>
        </w:rPr>
      </w:pPr>
      <w:r w:rsidRPr="005F2C03">
        <w:rPr>
          <w:rFonts w:cs="Arial"/>
        </w:rPr>
        <w:t xml:space="preserve">Conforme a lo </w:t>
      </w:r>
      <w:r w:rsidRPr="005F2C03">
        <w:rPr>
          <w:rFonts w:eastAsia="Arial" w:cs="Arial"/>
        </w:rPr>
        <w:t xml:space="preserve">establecido en el Decreto 392 de 2018, para incentivar el sistema de preferencias a favor de las personas con discapacidad, las entidades estatales deberán otorgar el uno por ciento (1%) del total de los puntos establecidos en </w:t>
      </w:r>
      <w:r w:rsidR="00BE709D" w:rsidRPr="005F2C03">
        <w:rPr>
          <w:rFonts w:eastAsia="Arial" w:cs="Arial"/>
        </w:rPr>
        <w:t>la invitación</w:t>
      </w:r>
      <w:r w:rsidRPr="005F2C03">
        <w:rPr>
          <w:rFonts w:eastAsia="Arial" w:cs="Arial"/>
        </w:rPr>
        <w:t>, a los proponentes que acrediten la vinculación de trabajadores con discapacidad en su planta de personal, de acuerdo con los siguientes requisitos:</w:t>
      </w:r>
    </w:p>
    <w:p w14:paraId="2630504F" w14:textId="77777777" w:rsidR="00EA401F" w:rsidRPr="005F2C03" w:rsidRDefault="00EA401F" w:rsidP="00EA401F">
      <w:pPr>
        <w:ind w:left="284" w:right="51" w:hanging="284"/>
        <w:jc w:val="both"/>
        <w:rPr>
          <w:rFonts w:eastAsia="Arial" w:cs="Arial"/>
        </w:rPr>
      </w:pPr>
    </w:p>
    <w:p w14:paraId="2685AAF6" w14:textId="77777777" w:rsidR="00EA401F" w:rsidRPr="005F2C03" w:rsidRDefault="00EA401F" w:rsidP="00EA401F">
      <w:pPr>
        <w:ind w:left="284" w:right="51" w:hanging="284"/>
        <w:jc w:val="both"/>
        <w:rPr>
          <w:rFonts w:eastAsia="Arial" w:cs="Arial"/>
        </w:rPr>
      </w:pPr>
      <w:r w:rsidRPr="005F2C03">
        <w:rPr>
          <w:rFonts w:eastAsia="Arial" w:cs="Arial"/>
        </w:rPr>
        <w:t xml:space="preserve">1. El proponente, bien sea persona natural o el representante legal de la persona jurídica o su revisor fiscal si llegaré a tenerlo, certificará el número total de trabajadores vinculados a la planta de personal del proponente o sus integrantes a la fecha de cierre del presente proceso. </w:t>
      </w:r>
    </w:p>
    <w:p w14:paraId="70FC650C" w14:textId="77777777" w:rsidR="00EA401F" w:rsidRPr="005F2C03" w:rsidRDefault="00EA401F" w:rsidP="00EA401F">
      <w:pPr>
        <w:ind w:left="284" w:right="51" w:hanging="284"/>
        <w:jc w:val="both"/>
        <w:rPr>
          <w:rFonts w:eastAsia="Arial" w:cs="Arial"/>
        </w:rPr>
      </w:pPr>
    </w:p>
    <w:p w14:paraId="1DBD7AB8" w14:textId="77777777" w:rsidR="00EA401F" w:rsidRPr="005F2C03" w:rsidRDefault="00EA401F" w:rsidP="00EA401F">
      <w:pPr>
        <w:ind w:left="284" w:right="51" w:hanging="284"/>
        <w:jc w:val="both"/>
        <w:rPr>
          <w:rFonts w:eastAsia="Arial" w:cs="Arial"/>
        </w:rPr>
      </w:pPr>
      <w:r w:rsidRPr="005F2C03">
        <w:rPr>
          <w:rFonts w:eastAsia="Arial" w:cs="Arial"/>
        </w:rPr>
        <w:t>2. Acreditar el número mínimo de personas con discapacidad en su planta de personal, de conformidad con lo señalado en el certificado expedido por el Ministerio de Trabajo, el cual deberá estar vigente a la fecha de cierre del presente proceso de selección.</w:t>
      </w:r>
    </w:p>
    <w:p w14:paraId="091993FA" w14:textId="77777777" w:rsidR="00EA401F" w:rsidRPr="005F2C03" w:rsidRDefault="00EA401F" w:rsidP="00EA401F">
      <w:pPr>
        <w:ind w:right="51"/>
        <w:jc w:val="both"/>
        <w:rPr>
          <w:rFonts w:eastAsia="Arial" w:cs="Arial"/>
        </w:rPr>
      </w:pPr>
    </w:p>
    <w:p w14:paraId="354E9AF6" w14:textId="77777777" w:rsidR="00EA401F" w:rsidRPr="005F2C03" w:rsidRDefault="00EA401F" w:rsidP="00EA401F">
      <w:pPr>
        <w:ind w:right="51"/>
        <w:jc w:val="both"/>
        <w:rPr>
          <w:rFonts w:eastAsia="Arial" w:cs="Arial"/>
        </w:rPr>
      </w:pPr>
      <w:r w:rsidRPr="005F2C03">
        <w:rPr>
          <w:rFonts w:eastAsia="Arial" w:cs="Arial"/>
        </w:rPr>
        <w:t>Verificados los anteriores requisitos, se asignará el 1% del total de los puntos, a quienes acrediten el número mínimo de trabajadores con discapacidad, señalados a continuación:</w:t>
      </w:r>
    </w:p>
    <w:p w14:paraId="239BB19A" w14:textId="77777777" w:rsidR="00EA401F" w:rsidRPr="005F2C03" w:rsidRDefault="00EA401F" w:rsidP="00EA401F">
      <w:pPr>
        <w:ind w:right="51"/>
        <w:rPr>
          <w:rFonts w:eastAsia="Arial" w:cs="Arial"/>
        </w:rPr>
      </w:pPr>
    </w:p>
    <w:tbl>
      <w:tblPr>
        <w:tblStyle w:val="Tablaconcuadrculaclara"/>
        <w:tblW w:w="9465" w:type="dxa"/>
        <w:jc w:val="center"/>
        <w:tblInd w:w="0" w:type="dxa"/>
        <w:tblLayout w:type="fixed"/>
        <w:tblLook w:val="0400" w:firstRow="0" w:lastRow="0" w:firstColumn="0" w:lastColumn="0" w:noHBand="0" w:noVBand="1"/>
      </w:tblPr>
      <w:tblGrid>
        <w:gridCol w:w="4733"/>
        <w:gridCol w:w="4732"/>
      </w:tblGrid>
      <w:tr w:rsidR="00EA401F" w:rsidRPr="005F2C03" w14:paraId="087B0859" w14:textId="77777777" w:rsidTr="00EA401F">
        <w:trPr>
          <w:trHeight w:val="507"/>
          <w:jc w:val="center"/>
        </w:trPr>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1" w:themeFillTint="33"/>
            <w:hideMark/>
          </w:tcPr>
          <w:p w14:paraId="26F91971" w14:textId="77777777" w:rsidR="00EA401F" w:rsidRPr="005F2C03" w:rsidRDefault="00EA401F">
            <w:pPr>
              <w:ind w:right="51"/>
              <w:jc w:val="center"/>
              <w:rPr>
                <w:rFonts w:eastAsia="Arial" w:cs="Arial"/>
                <w:b/>
                <w:bCs/>
                <w:sz w:val="22"/>
                <w:szCs w:val="22"/>
              </w:rPr>
            </w:pPr>
            <w:r w:rsidRPr="005F2C03">
              <w:rPr>
                <w:rFonts w:eastAsia="Arial" w:cs="Arial"/>
                <w:b/>
                <w:bCs/>
                <w:sz w:val="22"/>
                <w:szCs w:val="22"/>
              </w:rPr>
              <w:t>NÚMERO TOTAL DE TRABAJADORES DE LA PLANTA DE PERSONAL DEL PROPONENTE</w:t>
            </w:r>
          </w:p>
        </w:tc>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1" w:themeFillTint="33"/>
            <w:hideMark/>
          </w:tcPr>
          <w:p w14:paraId="3D51DC3E" w14:textId="77777777" w:rsidR="00EA401F" w:rsidRPr="005F2C03" w:rsidRDefault="00EA401F">
            <w:pPr>
              <w:ind w:right="51"/>
              <w:jc w:val="center"/>
              <w:rPr>
                <w:rFonts w:eastAsia="Arial" w:cs="Arial"/>
                <w:b/>
                <w:bCs/>
                <w:sz w:val="22"/>
                <w:szCs w:val="22"/>
              </w:rPr>
            </w:pPr>
            <w:r w:rsidRPr="005F2C03">
              <w:rPr>
                <w:rFonts w:eastAsia="Arial" w:cs="Arial"/>
                <w:b/>
                <w:bCs/>
                <w:sz w:val="22"/>
                <w:szCs w:val="22"/>
              </w:rPr>
              <w:t>NÚMERO MÍNIMO DE TRABAJADORES CON DISCAPACIDAD EXIGIDO</w:t>
            </w:r>
          </w:p>
        </w:tc>
      </w:tr>
      <w:tr w:rsidR="00EA401F" w:rsidRPr="005F2C03" w14:paraId="1D1EAFDF" w14:textId="77777777" w:rsidTr="00EA401F">
        <w:trPr>
          <w:trHeight w:val="261"/>
          <w:jc w:val="center"/>
        </w:trPr>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FBFF4B" w14:textId="77777777" w:rsidR="00EA401F" w:rsidRPr="005F2C03" w:rsidRDefault="00EA401F">
            <w:pPr>
              <w:ind w:right="51"/>
              <w:jc w:val="center"/>
              <w:rPr>
                <w:rFonts w:eastAsia="Arial" w:cs="Arial"/>
                <w:sz w:val="22"/>
                <w:szCs w:val="22"/>
              </w:rPr>
            </w:pPr>
            <w:r w:rsidRPr="005F2C03">
              <w:rPr>
                <w:rFonts w:eastAsia="Arial" w:cs="Arial"/>
                <w:sz w:val="22"/>
                <w:szCs w:val="22"/>
              </w:rPr>
              <w:t>Entre 1 y 30</w:t>
            </w:r>
          </w:p>
        </w:tc>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DCC98" w14:textId="77777777" w:rsidR="00EA401F" w:rsidRPr="005F2C03" w:rsidRDefault="00EA401F">
            <w:pPr>
              <w:ind w:right="51"/>
              <w:jc w:val="center"/>
              <w:rPr>
                <w:rFonts w:eastAsia="Arial" w:cs="Arial"/>
                <w:sz w:val="22"/>
                <w:szCs w:val="22"/>
              </w:rPr>
            </w:pPr>
            <w:r w:rsidRPr="005F2C03">
              <w:rPr>
                <w:rFonts w:eastAsia="Arial" w:cs="Arial"/>
                <w:sz w:val="22"/>
                <w:szCs w:val="22"/>
              </w:rPr>
              <w:t>1</w:t>
            </w:r>
          </w:p>
        </w:tc>
      </w:tr>
      <w:tr w:rsidR="00EA401F" w:rsidRPr="005F2C03" w14:paraId="2E608135" w14:textId="77777777" w:rsidTr="00EA401F">
        <w:trPr>
          <w:trHeight w:val="245"/>
          <w:jc w:val="center"/>
        </w:trPr>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4DD0E2" w14:textId="77777777" w:rsidR="00EA401F" w:rsidRPr="005F2C03" w:rsidRDefault="00EA401F">
            <w:pPr>
              <w:ind w:right="51"/>
              <w:jc w:val="center"/>
              <w:rPr>
                <w:rFonts w:eastAsia="Arial" w:cs="Arial"/>
                <w:sz w:val="22"/>
                <w:szCs w:val="22"/>
              </w:rPr>
            </w:pPr>
            <w:r w:rsidRPr="005F2C03">
              <w:rPr>
                <w:rFonts w:eastAsia="Arial" w:cs="Arial"/>
                <w:sz w:val="22"/>
                <w:szCs w:val="22"/>
              </w:rPr>
              <w:t>Entre 31 y 100</w:t>
            </w:r>
          </w:p>
        </w:tc>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5343E4" w14:textId="77777777" w:rsidR="00EA401F" w:rsidRPr="005F2C03" w:rsidRDefault="00EA401F">
            <w:pPr>
              <w:ind w:right="51"/>
              <w:jc w:val="center"/>
              <w:rPr>
                <w:rFonts w:eastAsia="Arial" w:cs="Arial"/>
                <w:sz w:val="22"/>
                <w:szCs w:val="22"/>
              </w:rPr>
            </w:pPr>
            <w:r w:rsidRPr="005F2C03">
              <w:rPr>
                <w:rFonts w:eastAsia="Arial" w:cs="Arial"/>
                <w:sz w:val="22"/>
                <w:szCs w:val="22"/>
              </w:rPr>
              <w:t>2</w:t>
            </w:r>
          </w:p>
        </w:tc>
      </w:tr>
      <w:tr w:rsidR="00EA401F" w:rsidRPr="005F2C03" w14:paraId="0BF69388" w14:textId="77777777" w:rsidTr="00EA401F">
        <w:trPr>
          <w:trHeight w:val="261"/>
          <w:jc w:val="center"/>
        </w:trPr>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49A000" w14:textId="77777777" w:rsidR="00EA401F" w:rsidRPr="005F2C03" w:rsidRDefault="00EA401F">
            <w:pPr>
              <w:ind w:right="51"/>
              <w:jc w:val="center"/>
              <w:rPr>
                <w:rFonts w:eastAsia="Arial" w:cs="Arial"/>
                <w:sz w:val="22"/>
                <w:szCs w:val="22"/>
              </w:rPr>
            </w:pPr>
            <w:r w:rsidRPr="005F2C03">
              <w:rPr>
                <w:rFonts w:eastAsia="Arial" w:cs="Arial"/>
                <w:sz w:val="22"/>
                <w:szCs w:val="22"/>
              </w:rPr>
              <w:t>Entre 101 y 150</w:t>
            </w:r>
          </w:p>
        </w:tc>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8C005B" w14:textId="77777777" w:rsidR="00EA401F" w:rsidRPr="005F2C03" w:rsidRDefault="00EA401F">
            <w:pPr>
              <w:ind w:right="51"/>
              <w:jc w:val="center"/>
              <w:rPr>
                <w:rFonts w:eastAsia="Arial" w:cs="Arial"/>
                <w:sz w:val="22"/>
                <w:szCs w:val="22"/>
              </w:rPr>
            </w:pPr>
            <w:r w:rsidRPr="005F2C03">
              <w:rPr>
                <w:rFonts w:eastAsia="Arial" w:cs="Arial"/>
                <w:sz w:val="22"/>
                <w:szCs w:val="22"/>
              </w:rPr>
              <w:t>3</w:t>
            </w:r>
          </w:p>
        </w:tc>
      </w:tr>
      <w:tr w:rsidR="00EA401F" w:rsidRPr="005F2C03" w14:paraId="2F706338" w14:textId="77777777" w:rsidTr="00EA401F">
        <w:trPr>
          <w:trHeight w:val="245"/>
          <w:jc w:val="center"/>
        </w:trPr>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66E40" w14:textId="77777777" w:rsidR="00EA401F" w:rsidRPr="005F2C03" w:rsidRDefault="00EA401F">
            <w:pPr>
              <w:ind w:right="51"/>
              <w:jc w:val="center"/>
              <w:rPr>
                <w:rFonts w:eastAsia="Arial" w:cs="Arial"/>
                <w:sz w:val="22"/>
                <w:szCs w:val="22"/>
              </w:rPr>
            </w:pPr>
            <w:r w:rsidRPr="005F2C03">
              <w:rPr>
                <w:rFonts w:eastAsia="Arial" w:cs="Arial"/>
                <w:sz w:val="22"/>
                <w:szCs w:val="22"/>
              </w:rPr>
              <w:t>Entre 151 y 200</w:t>
            </w:r>
          </w:p>
        </w:tc>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0364F" w14:textId="77777777" w:rsidR="00EA401F" w:rsidRPr="005F2C03" w:rsidRDefault="00EA401F">
            <w:pPr>
              <w:ind w:right="51"/>
              <w:jc w:val="center"/>
              <w:rPr>
                <w:rFonts w:eastAsia="Arial" w:cs="Arial"/>
                <w:sz w:val="22"/>
                <w:szCs w:val="22"/>
              </w:rPr>
            </w:pPr>
            <w:r w:rsidRPr="005F2C03">
              <w:rPr>
                <w:rFonts w:eastAsia="Arial" w:cs="Arial"/>
                <w:sz w:val="22"/>
                <w:szCs w:val="22"/>
              </w:rPr>
              <w:t>4</w:t>
            </w:r>
          </w:p>
        </w:tc>
      </w:tr>
      <w:tr w:rsidR="00EA401F" w:rsidRPr="005F2C03" w14:paraId="31057627" w14:textId="77777777" w:rsidTr="00EA401F">
        <w:trPr>
          <w:trHeight w:val="245"/>
          <w:jc w:val="center"/>
        </w:trPr>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B3231" w14:textId="77777777" w:rsidR="00EA401F" w:rsidRPr="005F2C03" w:rsidRDefault="00EA401F">
            <w:pPr>
              <w:ind w:right="51"/>
              <w:jc w:val="center"/>
              <w:rPr>
                <w:rFonts w:eastAsia="Arial" w:cs="Arial"/>
                <w:sz w:val="22"/>
                <w:szCs w:val="22"/>
              </w:rPr>
            </w:pPr>
            <w:r w:rsidRPr="005F2C03">
              <w:rPr>
                <w:rFonts w:eastAsia="Arial" w:cs="Arial"/>
                <w:sz w:val="22"/>
                <w:szCs w:val="22"/>
              </w:rPr>
              <w:lastRenderedPageBreak/>
              <w:t>Más de 200</w:t>
            </w:r>
          </w:p>
        </w:tc>
        <w:tc>
          <w:tcPr>
            <w:tcW w:w="4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122EC" w14:textId="77777777" w:rsidR="00EA401F" w:rsidRPr="005F2C03" w:rsidRDefault="00EA401F">
            <w:pPr>
              <w:ind w:right="51"/>
              <w:jc w:val="center"/>
              <w:rPr>
                <w:rFonts w:eastAsia="Arial" w:cs="Arial"/>
                <w:sz w:val="22"/>
                <w:szCs w:val="22"/>
              </w:rPr>
            </w:pPr>
            <w:r w:rsidRPr="005F2C03">
              <w:rPr>
                <w:rFonts w:eastAsia="Arial" w:cs="Arial"/>
                <w:sz w:val="22"/>
                <w:szCs w:val="22"/>
              </w:rPr>
              <w:t>5</w:t>
            </w:r>
          </w:p>
        </w:tc>
      </w:tr>
    </w:tbl>
    <w:p w14:paraId="39927568" w14:textId="77777777" w:rsidR="00EA401F" w:rsidRPr="005F2C03" w:rsidRDefault="00EA401F" w:rsidP="00EA401F">
      <w:pPr>
        <w:ind w:right="51"/>
        <w:rPr>
          <w:rFonts w:eastAsia="Arial" w:cs="Arial"/>
          <w:lang w:eastAsia="zh-CN"/>
        </w:rPr>
      </w:pPr>
    </w:p>
    <w:p w14:paraId="42AEFC4F" w14:textId="77777777" w:rsidR="00EA401F" w:rsidRPr="005F2C03" w:rsidRDefault="00EA401F" w:rsidP="00EA401F">
      <w:pPr>
        <w:ind w:right="51"/>
        <w:jc w:val="both"/>
        <w:rPr>
          <w:rFonts w:eastAsia="Arial" w:cs="Arial"/>
        </w:rPr>
      </w:pPr>
      <w:r w:rsidRPr="005F2C03">
        <w:rPr>
          <w:rFonts w:eastAsia="Arial" w:cs="Arial"/>
          <w:b/>
        </w:rPr>
        <w:t>Nota:</w:t>
      </w:r>
      <w:r w:rsidRPr="005F2C03">
        <w:rPr>
          <w:rFonts w:eastAsia="Arial" w:cs="Arial"/>
        </w:rPr>
        <w:t xml:space="preserve"> Si la oferta es presentada por un Consorcio o Unión Temporal, se tendrá en cuenta la planta de personal del integrante del proponente plural que aporte como mínimo el cuarenta por ciento (40%) de la experiencia específica habilitante requerida para la respectiva contratación.</w:t>
      </w:r>
    </w:p>
    <w:p w14:paraId="4320EA69" w14:textId="77777777" w:rsidR="005F2C03" w:rsidRPr="005F2C03" w:rsidRDefault="005F2C03" w:rsidP="00EA401F">
      <w:pPr>
        <w:ind w:right="51"/>
        <w:jc w:val="both"/>
        <w:rPr>
          <w:rFonts w:eastAsia="Arial" w:cs="Arial"/>
        </w:rPr>
      </w:pPr>
    </w:p>
    <w:p w14:paraId="7F2AE6CB" w14:textId="77777777" w:rsidR="005F2C03" w:rsidRPr="005F2C03" w:rsidRDefault="005F2C03" w:rsidP="005F2C03">
      <w:pPr>
        <w:jc w:val="both"/>
        <w:rPr>
          <w:rFonts w:cs="Arial"/>
          <w:b/>
          <w:bCs/>
        </w:rPr>
      </w:pPr>
      <w:r w:rsidRPr="005F2C03">
        <w:rPr>
          <w:rFonts w:cs="Arial"/>
          <w:b/>
          <w:bCs/>
        </w:rPr>
        <w:t>IDENTIFICACIÓN DE LAS MIPYMES</w:t>
      </w:r>
    </w:p>
    <w:p w14:paraId="2BE50723" w14:textId="77777777" w:rsidR="005F2C03" w:rsidRPr="005F2C03" w:rsidRDefault="005F2C03" w:rsidP="005F2C03">
      <w:pPr>
        <w:pStyle w:val="Prrafodelista"/>
        <w:ind w:left="0"/>
        <w:jc w:val="both"/>
        <w:rPr>
          <w:rFonts w:cs="Arial"/>
        </w:rPr>
      </w:pPr>
    </w:p>
    <w:p w14:paraId="0C4F9A44" w14:textId="77777777" w:rsidR="005F2C03" w:rsidRPr="005F2C03" w:rsidRDefault="005F2C03" w:rsidP="005F2C03">
      <w:pPr>
        <w:jc w:val="both"/>
        <w:rPr>
          <w:rFonts w:cs="Arial"/>
        </w:rPr>
      </w:pPr>
      <w:bookmarkStart w:id="24" w:name="_Hlk100237388"/>
      <w:r w:rsidRPr="005F2C03">
        <w:rPr>
          <w:rFonts w:cs="Arial"/>
        </w:rPr>
        <w:t>En cumplimiento de lo dispuesto en el Decreto 1860 de 2021</w:t>
      </w:r>
      <w:r w:rsidRPr="005F2C03">
        <w:rPr>
          <w:rStyle w:val="Refdenotaalpie"/>
          <w:rFonts w:cs="Arial"/>
          <w:lang w:val="es-MX"/>
        </w:rPr>
        <w:footnoteReference w:id="12"/>
      </w:r>
      <w:r w:rsidRPr="005F2C03">
        <w:rPr>
          <w:rFonts w:cs="Arial"/>
          <w:lang w:val="es-MX"/>
        </w:rPr>
        <w:t>,</w:t>
      </w:r>
      <w:r w:rsidRPr="005F2C03">
        <w:rPr>
          <w:rFonts w:cs="Arial"/>
        </w:rPr>
        <w:t xml:space="preserve"> </w:t>
      </w:r>
      <w:bookmarkEnd w:id="24"/>
      <w:r w:rsidRPr="005F2C03">
        <w:rPr>
          <w:rFonts w:cs="Arial"/>
        </w:rPr>
        <w:t>se complementa el análisis de la oferta categorizando una muestra de 182 empresas, por sectores (Manufacturero o Industrial, Servicios y Comercio) y por tamaño empresarial (Micro, Pequeña, Mediana y Gran empresa).</w:t>
      </w:r>
    </w:p>
    <w:p w14:paraId="64DDE04B" w14:textId="77777777" w:rsidR="005F2C03" w:rsidRPr="005F2C03" w:rsidRDefault="005F2C03" w:rsidP="005F2C03">
      <w:pPr>
        <w:jc w:val="both"/>
        <w:rPr>
          <w:rFonts w:cs="Arial"/>
        </w:rPr>
      </w:pPr>
    </w:p>
    <w:p w14:paraId="2EF282ED" w14:textId="77777777" w:rsidR="005F2C03" w:rsidRPr="005F2C03" w:rsidRDefault="005F2C03" w:rsidP="005F2C03">
      <w:pPr>
        <w:jc w:val="both"/>
        <w:rPr>
          <w:rFonts w:cs="Arial"/>
        </w:rPr>
      </w:pPr>
      <w:r w:rsidRPr="005F2C03">
        <w:rPr>
          <w:rFonts w:cs="Arial"/>
        </w:rPr>
        <w:t>La clasificación por sectores se realizó con base en los CIIU en los que se encuentran clasificadas las empresas que pueden ofrecer los bienes o servicios requeridos por la Entidad.</w:t>
      </w:r>
    </w:p>
    <w:p w14:paraId="2895843B" w14:textId="77777777" w:rsidR="005F2C03" w:rsidRPr="005F2C03" w:rsidRDefault="005F2C03" w:rsidP="005F2C03">
      <w:pPr>
        <w:jc w:val="both"/>
        <w:rPr>
          <w:rFonts w:cs="Arial"/>
        </w:rPr>
      </w:pPr>
    </w:p>
    <w:p w14:paraId="0AFEA5E0" w14:textId="77777777" w:rsidR="005F2C03" w:rsidRPr="005F2C03" w:rsidRDefault="005F2C03" w:rsidP="005F2C03">
      <w:pPr>
        <w:jc w:val="both"/>
        <w:rPr>
          <w:rFonts w:cs="Arial"/>
        </w:rPr>
      </w:pPr>
      <w:r w:rsidRPr="005F2C03">
        <w:rPr>
          <w:rFonts w:cs="Arial"/>
        </w:rPr>
        <w:t>Por su parte, la clasificación del tamaño empresarial se realizó de acuerdo con la cuenta de ingresos por actividades ordinarias anuales siguiendo las disposiciones del Decreto 957 de 2019</w:t>
      </w:r>
      <w:r w:rsidRPr="005F2C03">
        <w:rPr>
          <w:rStyle w:val="Refdenotaalpie"/>
          <w:rFonts w:cs="Arial"/>
        </w:rPr>
        <w:footnoteReference w:id="13"/>
      </w:r>
      <w:r w:rsidRPr="005F2C03">
        <w:rPr>
          <w:rFonts w:cs="Arial"/>
        </w:rPr>
        <w:t xml:space="preserve"> y aplicándoles el factor clasificatorio con las Unidades de Valor Unitario (U.V.T.)</w:t>
      </w:r>
    </w:p>
    <w:p w14:paraId="662E3F11" w14:textId="77777777" w:rsidR="005F2C03" w:rsidRPr="005F2C03" w:rsidRDefault="005F2C03" w:rsidP="005F2C03">
      <w:pPr>
        <w:ind w:right="51"/>
        <w:jc w:val="both"/>
        <w:rPr>
          <w:rFonts w:cs="Arial"/>
          <w:b/>
          <w:color w:val="000000"/>
        </w:rPr>
      </w:pPr>
    </w:p>
    <w:p w14:paraId="17364DF6" w14:textId="77777777" w:rsidR="005F2C03" w:rsidRPr="005F2C03" w:rsidRDefault="005F2C03" w:rsidP="005F2C03">
      <w:pPr>
        <w:jc w:val="both"/>
        <w:rPr>
          <w:rFonts w:cs="Arial"/>
        </w:rPr>
      </w:pPr>
      <w:r w:rsidRPr="005F2C03">
        <w:rPr>
          <w:rFonts w:cs="Arial"/>
        </w:rPr>
        <w:t>Realizada la clasificación de las empresas de la muestra de acuerdo con las metodologías señaladas, se obtienen los siguientes resultados:</w:t>
      </w:r>
    </w:p>
    <w:p w14:paraId="1959A798" w14:textId="77777777" w:rsidR="005F2C03" w:rsidRPr="005F2C03" w:rsidRDefault="005F2C03" w:rsidP="005F2C03">
      <w:pPr>
        <w:jc w:val="both"/>
        <w:rPr>
          <w:rFonts w:cs="Arial"/>
        </w:rPr>
      </w:pPr>
    </w:p>
    <w:p w14:paraId="1F7F21CD" w14:textId="4DB826FC" w:rsidR="005F2C03" w:rsidRPr="005F2C03" w:rsidRDefault="005F2C03" w:rsidP="005F2C03">
      <w:pPr>
        <w:ind w:right="51"/>
        <w:jc w:val="center"/>
        <w:rPr>
          <w:rFonts w:cs="Arial"/>
          <w:b/>
          <w:color w:val="000000"/>
          <w:highlight w:val="yellow"/>
        </w:rPr>
      </w:pPr>
      <w:r w:rsidRPr="005F2C03">
        <w:rPr>
          <w:rFonts w:cs="Arial"/>
          <w:noProof/>
          <w:lang w:val="en-US"/>
        </w:rPr>
        <w:lastRenderedPageBreak/>
        <w:drawing>
          <wp:inline distT="0" distB="0" distL="0" distR="0" wp14:anchorId="7DC03F17" wp14:editId="1DC5F0EB">
            <wp:extent cx="5132070" cy="2786380"/>
            <wp:effectExtent l="0" t="0" r="11430" b="13970"/>
            <wp:docPr id="801607786"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B40760F" w14:textId="77777777" w:rsidR="005F2C03" w:rsidRPr="005F2C03" w:rsidRDefault="005F2C03" w:rsidP="005F2C03">
      <w:pPr>
        <w:ind w:right="51"/>
        <w:jc w:val="both"/>
        <w:rPr>
          <w:rFonts w:cs="Arial"/>
          <w:b/>
          <w:color w:val="000000"/>
          <w:highlight w:val="yellow"/>
        </w:rPr>
      </w:pPr>
    </w:p>
    <w:p w14:paraId="22FE0D52" w14:textId="77777777" w:rsidR="005F2C03" w:rsidRPr="005F2C03" w:rsidRDefault="005F2C03" w:rsidP="005F2C03">
      <w:pPr>
        <w:jc w:val="both"/>
        <w:rPr>
          <w:rFonts w:cs="Arial"/>
        </w:rPr>
      </w:pPr>
      <w:r w:rsidRPr="005F2C03">
        <w:rPr>
          <w:rFonts w:cs="Arial"/>
        </w:rPr>
        <w:t>Como se observa, las empresas que pueden suplir la necesidad de la Entidad se encuentran el sector de servicios. De las 29 empresas analizadas, el 28% de éstas se clasifican como mediana empresa, 41% microempresa y 31% pequeña empresa.</w:t>
      </w:r>
    </w:p>
    <w:p w14:paraId="0751BD9D" w14:textId="77777777" w:rsidR="005F2C03" w:rsidRPr="005F2C03" w:rsidRDefault="005F2C03" w:rsidP="005F2C03">
      <w:pPr>
        <w:ind w:right="51"/>
        <w:jc w:val="both"/>
        <w:rPr>
          <w:rFonts w:cs="Arial"/>
          <w:b/>
          <w:color w:val="000000"/>
        </w:rPr>
      </w:pPr>
    </w:p>
    <w:p w14:paraId="65E3D3B3" w14:textId="7413CF86" w:rsidR="005F2C03" w:rsidRPr="005F2C03" w:rsidRDefault="005F2C03" w:rsidP="005F2C03">
      <w:pPr>
        <w:ind w:right="51"/>
        <w:jc w:val="center"/>
        <w:rPr>
          <w:rFonts w:cs="Arial"/>
          <w:b/>
          <w:color w:val="000000"/>
        </w:rPr>
      </w:pPr>
      <w:r w:rsidRPr="005F2C03">
        <w:rPr>
          <w:rFonts w:cs="Arial"/>
          <w:noProof/>
          <w:lang w:val="en-US"/>
        </w:rPr>
        <w:drawing>
          <wp:inline distT="0" distB="0" distL="0" distR="0" wp14:anchorId="53415DA6" wp14:editId="328D5C1F">
            <wp:extent cx="3511550" cy="2845435"/>
            <wp:effectExtent l="0" t="0" r="12700" b="12065"/>
            <wp:docPr id="1305155322"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03D658C" w14:textId="77777777" w:rsidR="005F2C03" w:rsidRPr="005F2C03" w:rsidRDefault="005F2C03" w:rsidP="005F2C03">
      <w:pPr>
        <w:pStyle w:val="Prrafodelista"/>
        <w:ind w:left="0"/>
        <w:jc w:val="both"/>
        <w:rPr>
          <w:rFonts w:cs="Arial"/>
        </w:rPr>
      </w:pPr>
    </w:p>
    <w:p w14:paraId="7E6D9ECC" w14:textId="77777777" w:rsidR="005F2C03" w:rsidRPr="005F2C03" w:rsidRDefault="005F2C03" w:rsidP="005F2C03">
      <w:pPr>
        <w:jc w:val="both"/>
        <w:rPr>
          <w:rFonts w:cs="Arial"/>
        </w:rPr>
      </w:pPr>
      <w:r w:rsidRPr="005F2C03">
        <w:rPr>
          <w:rFonts w:cs="Arial"/>
          <w:b/>
        </w:rPr>
        <w:t xml:space="preserve">LIMITACIÓN A MIPYMES </w:t>
      </w:r>
    </w:p>
    <w:p w14:paraId="4E71EA86" w14:textId="77777777" w:rsidR="005F2C03" w:rsidRPr="005F2C03" w:rsidRDefault="005F2C03" w:rsidP="005F2C03">
      <w:pPr>
        <w:pStyle w:val="Prrafodelista"/>
        <w:jc w:val="both"/>
        <w:rPr>
          <w:rFonts w:cs="Arial"/>
        </w:rPr>
      </w:pPr>
    </w:p>
    <w:p w14:paraId="033EFE9C" w14:textId="39DA276E" w:rsidR="005F2C03" w:rsidRPr="005F2C03" w:rsidRDefault="005F2C03" w:rsidP="005F2C03">
      <w:pPr>
        <w:ind w:right="51" w:hanging="2"/>
        <w:jc w:val="both"/>
        <w:rPr>
          <w:rFonts w:cs="Arial"/>
        </w:rPr>
      </w:pPr>
      <w:r w:rsidRPr="005F2C03">
        <w:rPr>
          <w:rFonts w:cs="Arial"/>
          <w:lang w:val="es-ES_tradnl"/>
        </w:rPr>
        <w:t xml:space="preserve">La </w:t>
      </w:r>
      <w:r>
        <w:rPr>
          <w:rFonts w:cs="Arial"/>
          <w:lang w:val="es-ES_tradnl"/>
        </w:rPr>
        <w:t>ELC</w:t>
      </w:r>
      <w:r w:rsidRPr="005F2C03">
        <w:rPr>
          <w:rFonts w:cs="Arial"/>
          <w:lang w:val="es-ES_tradnl"/>
        </w:rPr>
        <w:t xml:space="preserve"> </w:t>
      </w:r>
      <w:r w:rsidRPr="005F2C03">
        <w:rPr>
          <w:rFonts w:cs="Arial"/>
        </w:rPr>
        <w:t>hace constar que se ha realizado el análisis necesario para conocer el sector del presente proceso contractual, en cumplimiento del artículo 2.2.1.1.1.6.1 del Decreto Nacional 1082 de 2015. De la misma forma, se hace constar que se evalúa la promoción del acceso a las MIPYME al mercado de compras públicas establecido en el artículo 33 de la Ley 2069 de 2020</w:t>
      </w:r>
      <w:r w:rsidRPr="005F2C03">
        <w:rPr>
          <w:rFonts w:cs="Arial"/>
          <w:vertAlign w:val="superscript"/>
        </w:rPr>
        <w:footnoteReference w:id="14"/>
      </w:r>
      <w:r w:rsidRPr="005F2C03">
        <w:rPr>
          <w:rFonts w:cs="Arial"/>
        </w:rPr>
        <w:t>.</w:t>
      </w:r>
    </w:p>
    <w:p w14:paraId="22BA57AD" w14:textId="77777777" w:rsidR="005F2C03" w:rsidRPr="005F2C03" w:rsidRDefault="005F2C03" w:rsidP="005F2C03">
      <w:pPr>
        <w:ind w:right="51" w:hanging="2"/>
        <w:jc w:val="both"/>
        <w:rPr>
          <w:rFonts w:cs="Arial"/>
        </w:rPr>
      </w:pPr>
    </w:p>
    <w:p w14:paraId="61C259BF" w14:textId="77777777" w:rsidR="005F2C03" w:rsidRPr="005F2C03" w:rsidRDefault="005F2C03" w:rsidP="005F2C03">
      <w:pPr>
        <w:tabs>
          <w:tab w:val="left" w:pos="567"/>
        </w:tabs>
        <w:ind w:right="51"/>
        <w:jc w:val="both"/>
        <w:rPr>
          <w:rFonts w:cs="Arial"/>
          <w:bCs/>
          <w:color w:val="000000"/>
        </w:rPr>
      </w:pPr>
      <w:r w:rsidRPr="005F2C03">
        <w:rPr>
          <w:rFonts w:cs="Arial"/>
          <w:bCs/>
          <w:color w:val="000000"/>
        </w:rPr>
        <w:t>En ese orden de ideas, el Decreto Nacional 957 del 05 de junio de 2019, emitido por el Ministerio de Comercio, Industria y Turismo, establece en el artículo 2.2.1.13.2.2 Rangos para la Definición del Tamaño Empresarial. Para efectos de la clasificación del tamaño empresarial se utilizarán, con base en el criterio previsto en el artículo anterior, los siguientes rangos para determinar el valor de los ingresos por actividades ordinarias anuales de acuerdo con el sector económico de que se trate:</w:t>
      </w:r>
    </w:p>
    <w:p w14:paraId="77F9D351" w14:textId="77777777" w:rsidR="005F2C03" w:rsidRPr="005F2C03" w:rsidRDefault="005F2C03" w:rsidP="005F2C03">
      <w:pPr>
        <w:tabs>
          <w:tab w:val="left" w:pos="567"/>
        </w:tabs>
        <w:ind w:right="51"/>
        <w:jc w:val="both"/>
        <w:rPr>
          <w:rFonts w:cs="Arial"/>
          <w:bCs/>
          <w:color w:val="000000"/>
        </w:rPr>
      </w:pP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313"/>
        <w:gridCol w:w="2297"/>
        <w:gridCol w:w="2669"/>
      </w:tblGrid>
      <w:tr w:rsidR="005F2C03" w:rsidRPr="005F2C03" w14:paraId="0A40DEBF" w14:textId="77777777" w:rsidTr="005F2C03">
        <w:trPr>
          <w:trHeight w:val="210"/>
        </w:trPr>
        <w:tc>
          <w:tcPr>
            <w:tcW w:w="748" w:type="pct"/>
            <w:tcBorders>
              <w:top w:val="single" w:sz="4" w:space="0" w:color="auto"/>
              <w:left w:val="single" w:sz="4" w:space="0" w:color="auto"/>
              <w:bottom w:val="single" w:sz="4" w:space="0" w:color="auto"/>
              <w:right w:val="single" w:sz="4" w:space="0" w:color="auto"/>
            </w:tcBorders>
            <w:shd w:val="clear" w:color="auto" w:fill="B7D4EF"/>
            <w:vAlign w:val="center"/>
            <w:hideMark/>
          </w:tcPr>
          <w:p w14:paraId="462CCFF3" w14:textId="77777777" w:rsidR="005F2C03" w:rsidRPr="005F2C03" w:rsidRDefault="005F2C03">
            <w:pPr>
              <w:tabs>
                <w:tab w:val="left" w:pos="567"/>
              </w:tabs>
              <w:ind w:right="-136"/>
              <w:jc w:val="center"/>
              <w:rPr>
                <w:rFonts w:cs="Arial"/>
                <w:b/>
              </w:rPr>
            </w:pPr>
            <w:r w:rsidRPr="005F2C03">
              <w:rPr>
                <w:rFonts w:cs="Arial"/>
                <w:b/>
              </w:rPr>
              <w:t>SECTOR</w:t>
            </w:r>
          </w:p>
        </w:tc>
        <w:tc>
          <w:tcPr>
            <w:tcW w:w="1352" w:type="pct"/>
            <w:tcBorders>
              <w:top w:val="single" w:sz="4" w:space="0" w:color="auto"/>
              <w:left w:val="single" w:sz="4" w:space="0" w:color="auto"/>
              <w:bottom w:val="single" w:sz="4" w:space="0" w:color="auto"/>
              <w:right w:val="single" w:sz="4" w:space="0" w:color="auto"/>
            </w:tcBorders>
            <w:shd w:val="clear" w:color="auto" w:fill="B7D4EF"/>
            <w:vAlign w:val="center"/>
            <w:hideMark/>
          </w:tcPr>
          <w:p w14:paraId="40326B21" w14:textId="77777777" w:rsidR="005F2C03" w:rsidRPr="005F2C03" w:rsidRDefault="005F2C03">
            <w:pPr>
              <w:tabs>
                <w:tab w:val="left" w:pos="567"/>
              </w:tabs>
              <w:ind w:left="-39"/>
              <w:jc w:val="center"/>
              <w:rPr>
                <w:rFonts w:cs="Arial"/>
                <w:b/>
              </w:rPr>
            </w:pPr>
            <w:r w:rsidRPr="005F2C03">
              <w:rPr>
                <w:rFonts w:cs="Arial"/>
                <w:b/>
              </w:rPr>
              <w:t>MICRO</w:t>
            </w:r>
          </w:p>
        </w:tc>
        <w:tc>
          <w:tcPr>
            <w:tcW w:w="1342" w:type="pct"/>
            <w:tcBorders>
              <w:top w:val="single" w:sz="4" w:space="0" w:color="auto"/>
              <w:left w:val="single" w:sz="4" w:space="0" w:color="auto"/>
              <w:bottom w:val="single" w:sz="4" w:space="0" w:color="auto"/>
              <w:right w:val="single" w:sz="4" w:space="0" w:color="auto"/>
            </w:tcBorders>
            <w:shd w:val="clear" w:color="auto" w:fill="B7D4EF"/>
            <w:vAlign w:val="center"/>
            <w:hideMark/>
          </w:tcPr>
          <w:p w14:paraId="6944A043" w14:textId="77777777" w:rsidR="005F2C03" w:rsidRPr="005F2C03" w:rsidRDefault="005F2C03">
            <w:pPr>
              <w:tabs>
                <w:tab w:val="left" w:pos="567"/>
              </w:tabs>
              <w:ind w:right="-22"/>
              <w:jc w:val="center"/>
              <w:rPr>
                <w:rFonts w:cs="Arial"/>
                <w:b/>
              </w:rPr>
            </w:pPr>
            <w:r w:rsidRPr="005F2C03">
              <w:rPr>
                <w:rFonts w:cs="Arial"/>
                <w:b/>
              </w:rPr>
              <w:t>PEQUEÑA</w:t>
            </w:r>
          </w:p>
        </w:tc>
        <w:tc>
          <w:tcPr>
            <w:tcW w:w="1557" w:type="pct"/>
            <w:tcBorders>
              <w:top w:val="single" w:sz="4" w:space="0" w:color="auto"/>
              <w:left w:val="single" w:sz="4" w:space="0" w:color="auto"/>
              <w:bottom w:val="single" w:sz="4" w:space="0" w:color="auto"/>
              <w:right w:val="single" w:sz="4" w:space="0" w:color="auto"/>
            </w:tcBorders>
            <w:shd w:val="clear" w:color="auto" w:fill="B7D4EF"/>
            <w:vAlign w:val="center"/>
            <w:hideMark/>
          </w:tcPr>
          <w:p w14:paraId="08C50AED" w14:textId="77777777" w:rsidR="005F2C03" w:rsidRPr="005F2C03" w:rsidRDefault="005F2C03">
            <w:pPr>
              <w:tabs>
                <w:tab w:val="left" w:pos="567"/>
                <w:tab w:val="left" w:pos="1936"/>
              </w:tabs>
              <w:jc w:val="center"/>
              <w:rPr>
                <w:rFonts w:cs="Arial"/>
                <w:b/>
              </w:rPr>
            </w:pPr>
            <w:r w:rsidRPr="005F2C03">
              <w:rPr>
                <w:rFonts w:cs="Arial"/>
                <w:b/>
              </w:rPr>
              <w:t>MEDIANA</w:t>
            </w:r>
          </w:p>
        </w:tc>
      </w:tr>
      <w:tr w:rsidR="005F2C03" w:rsidRPr="005F2C03" w14:paraId="1034326C" w14:textId="77777777" w:rsidTr="005F2C03">
        <w:trPr>
          <w:trHeight w:val="505"/>
        </w:trPr>
        <w:tc>
          <w:tcPr>
            <w:tcW w:w="748" w:type="pct"/>
            <w:tcBorders>
              <w:top w:val="single" w:sz="4" w:space="0" w:color="auto"/>
              <w:left w:val="single" w:sz="4" w:space="0" w:color="auto"/>
              <w:bottom w:val="single" w:sz="4" w:space="0" w:color="auto"/>
              <w:right w:val="single" w:sz="4" w:space="0" w:color="auto"/>
            </w:tcBorders>
            <w:vAlign w:val="center"/>
            <w:hideMark/>
          </w:tcPr>
          <w:p w14:paraId="75AE0526" w14:textId="77777777" w:rsidR="005F2C03" w:rsidRPr="005F2C03" w:rsidRDefault="005F2C03">
            <w:pPr>
              <w:tabs>
                <w:tab w:val="left" w:pos="22"/>
              </w:tabs>
              <w:ind w:right="-136"/>
              <w:rPr>
                <w:rFonts w:cs="Arial"/>
                <w:bCs/>
                <w:color w:val="000000"/>
              </w:rPr>
            </w:pPr>
            <w:r w:rsidRPr="005F2C03">
              <w:rPr>
                <w:rFonts w:cs="Arial"/>
                <w:bCs/>
                <w:color w:val="000000"/>
              </w:rPr>
              <w:t>Manufacturero</w:t>
            </w:r>
          </w:p>
        </w:tc>
        <w:tc>
          <w:tcPr>
            <w:tcW w:w="1352" w:type="pct"/>
            <w:tcBorders>
              <w:top w:val="single" w:sz="4" w:space="0" w:color="auto"/>
              <w:left w:val="single" w:sz="4" w:space="0" w:color="auto"/>
              <w:bottom w:val="single" w:sz="4" w:space="0" w:color="auto"/>
              <w:right w:val="single" w:sz="4" w:space="0" w:color="auto"/>
            </w:tcBorders>
            <w:vAlign w:val="center"/>
            <w:hideMark/>
          </w:tcPr>
          <w:p w14:paraId="300872C0" w14:textId="77777777" w:rsidR="005F2C03" w:rsidRPr="005F2C03" w:rsidRDefault="005F2C03">
            <w:pPr>
              <w:tabs>
                <w:tab w:val="left" w:pos="567"/>
              </w:tabs>
              <w:ind w:left="-81" w:right="-63"/>
              <w:rPr>
                <w:rFonts w:cs="Arial"/>
                <w:bCs/>
                <w:color w:val="000000"/>
              </w:rPr>
            </w:pPr>
            <w:r w:rsidRPr="005F2C03">
              <w:rPr>
                <w:rFonts w:cs="Arial"/>
                <w:bCs/>
                <w:color w:val="000000"/>
              </w:rPr>
              <w:t>Inferior o igual a 23.563 UVT.</w:t>
            </w:r>
          </w:p>
        </w:tc>
        <w:tc>
          <w:tcPr>
            <w:tcW w:w="1342" w:type="pct"/>
            <w:tcBorders>
              <w:top w:val="single" w:sz="4" w:space="0" w:color="auto"/>
              <w:left w:val="single" w:sz="4" w:space="0" w:color="auto"/>
              <w:bottom w:val="single" w:sz="4" w:space="0" w:color="auto"/>
              <w:right w:val="single" w:sz="4" w:space="0" w:color="auto"/>
            </w:tcBorders>
            <w:vAlign w:val="center"/>
            <w:hideMark/>
          </w:tcPr>
          <w:p w14:paraId="4F26F19D" w14:textId="77777777" w:rsidR="005F2C03" w:rsidRPr="005F2C03" w:rsidRDefault="005F2C03">
            <w:pPr>
              <w:tabs>
                <w:tab w:val="left" w:pos="567"/>
              </w:tabs>
              <w:ind w:left="-161" w:right="-139"/>
              <w:jc w:val="center"/>
              <w:rPr>
                <w:rFonts w:cs="Arial"/>
                <w:bCs/>
                <w:color w:val="000000"/>
              </w:rPr>
            </w:pPr>
            <w:r w:rsidRPr="005F2C03">
              <w:rPr>
                <w:rFonts w:cs="Arial"/>
                <w:bCs/>
                <w:color w:val="000000"/>
              </w:rPr>
              <w:t>Superior a 23.563 UVT e inferior o igual a 204.995 UVT.</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40FE0EA" w14:textId="77777777" w:rsidR="005F2C03" w:rsidRPr="005F2C03" w:rsidRDefault="005F2C03">
            <w:pPr>
              <w:tabs>
                <w:tab w:val="left" w:pos="567"/>
                <w:tab w:val="left" w:pos="1936"/>
              </w:tabs>
              <w:jc w:val="center"/>
              <w:rPr>
                <w:rFonts w:cs="Arial"/>
                <w:bCs/>
                <w:color w:val="000000"/>
              </w:rPr>
            </w:pPr>
            <w:r w:rsidRPr="005F2C03">
              <w:rPr>
                <w:rFonts w:cs="Arial"/>
                <w:bCs/>
                <w:color w:val="000000"/>
              </w:rPr>
              <w:t>Superior a 204.995 UVT e inferior o igual a 1’736.565 UVT.</w:t>
            </w:r>
          </w:p>
        </w:tc>
      </w:tr>
      <w:tr w:rsidR="005F2C03" w:rsidRPr="005F2C03" w14:paraId="0B016867" w14:textId="77777777" w:rsidTr="005F2C03">
        <w:trPr>
          <w:trHeight w:val="476"/>
        </w:trPr>
        <w:tc>
          <w:tcPr>
            <w:tcW w:w="748" w:type="pct"/>
            <w:tcBorders>
              <w:top w:val="single" w:sz="4" w:space="0" w:color="auto"/>
              <w:left w:val="single" w:sz="4" w:space="0" w:color="auto"/>
              <w:bottom w:val="single" w:sz="4" w:space="0" w:color="auto"/>
              <w:right w:val="single" w:sz="4" w:space="0" w:color="auto"/>
            </w:tcBorders>
            <w:vAlign w:val="center"/>
            <w:hideMark/>
          </w:tcPr>
          <w:p w14:paraId="3D7F22AA" w14:textId="77777777" w:rsidR="005F2C03" w:rsidRPr="005F2C03" w:rsidRDefault="005F2C03">
            <w:pPr>
              <w:tabs>
                <w:tab w:val="left" w:pos="22"/>
              </w:tabs>
              <w:ind w:right="-136"/>
              <w:rPr>
                <w:rFonts w:cs="Arial"/>
                <w:bCs/>
                <w:color w:val="000000"/>
              </w:rPr>
            </w:pPr>
            <w:r w:rsidRPr="005F2C03">
              <w:rPr>
                <w:rFonts w:cs="Arial"/>
                <w:bCs/>
                <w:color w:val="000000"/>
              </w:rPr>
              <w:t>Servicios</w:t>
            </w:r>
          </w:p>
        </w:tc>
        <w:tc>
          <w:tcPr>
            <w:tcW w:w="1352" w:type="pct"/>
            <w:tcBorders>
              <w:top w:val="single" w:sz="4" w:space="0" w:color="auto"/>
              <w:left w:val="single" w:sz="4" w:space="0" w:color="auto"/>
              <w:bottom w:val="single" w:sz="4" w:space="0" w:color="auto"/>
              <w:right w:val="single" w:sz="4" w:space="0" w:color="auto"/>
            </w:tcBorders>
            <w:vAlign w:val="center"/>
            <w:hideMark/>
          </w:tcPr>
          <w:p w14:paraId="5161ADE5" w14:textId="77777777" w:rsidR="005F2C03" w:rsidRPr="005F2C03" w:rsidRDefault="005F2C03">
            <w:pPr>
              <w:tabs>
                <w:tab w:val="left" w:pos="567"/>
              </w:tabs>
              <w:ind w:left="-81" w:right="-63"/>
              <w:rPr>
                <w:rFonts w:cs="Arial"/>
                <w:bCs/>
                <w:color w:val="000000"/>
              </w:rPr>
            </w:pPr>
            <w:r w:rsidRPr="005F2C03">
              <w:rPr>
                <w:rFonts w:cs="Arial"/>
                <w:bCs/>
                <w:color w:val="000000"/>
              </w:rPr>
              <w:t>Inferior o igual a 32.988 UVT.</w:t>
            </w:r>
          </w:p>
        </w:tc>
        <w:tc>
          <w:tcPr>
            <w:tcW w:w="1342" w:type="pct"/>
            <w:tcBorders>
              <w:top w:val="single" w:sz="4" w:space="0" w:color="auto"/>
              <w:left w:val="single" w:sz="4" w:space="0" w:color="auto"/>
              <w:bottom w:val="single" w:sz="4" w:space="0" w:color="auto"/>
              <w:right w:val="single" w:sz="4" w:space="0" w:color="auto"/>
            </w:tcBorders>
            <w:vAlign w:val="center"/>
            <w:hideMark/>
          </w:tcPr>
          <w:p w14:paraId="2B5917BD" w14:textId="77777777" w:rsidR="005F2C03" w:rsidRPr="005F2C03" w:rsidRDefault="005F2C03">
            <w:pPr>
              <w:tabs>
                <w:tab w:val="left" w:pos="567"/>
              </w:tabs>
              <w:ind w:left="-161" w:right="-139"/>
              <w:jc w:val="center"/>
              <w:rPr>
                <w:rFonts w:cs="Arial"/>
                <w:bCs/>
                <w:color w:val="000000"/>
              </w:rPr>
            </w:pPr>
            <w:r w:rsidRPr="005F2C03">
              <w:rPr>
                <w:rFonts w:cs="Arial"/>
                <w:bCs/>
                <w:color w:val="000000"/>
              </w:rPr>
              <w:t>Superior a 32.988 UVT e inferior o igual a 131.951 UVT.</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3F07692" w14:textId="77777777" w:rsidR="005F2C03" w:rsidRPr="005F2C03" w:rsidRDefault="005F2C03">
            <w:pPr>
              <w:tabs>
                <w:tab w:val="left" w:pos="567"/>
                <w:tab w:val="left" w:pos="1936"/>
              </w:tabs>
              <w:jc w:val="center"/>
              <w:rPr>
                <w:rFonts w:cs="Arial"/>
                <w:bCs/>
                <w:color w:val="000000"/>
              </w:rPr>
            </w:pPr>
            <w:r w:rsidRPr="005F2C03">
              <w:rPr>
                <w:rFonts w:cs="Arial"/>
                <w:bCs/>
                <w:color w:val="000000"/>
              </w:rPr>
              <w:t>Superior a 131.951 UVT e inferior o igual a 483.034 UVT.</w:t>
            </w:r>
          </w:p>
        </w:tc>
      </w:tr>
      <w:tr w:rsidR="005F2C03" w:rsidRPr="005F2C03" w14:paraId="4996A0D7" w14:textId="77777777" w:rsidTr="005F2C03">
        <w:trPr>
          <w:trHeight w:val="471"/>
        </w:trPr>
        <w:tc>
          <w:tcPr>
            <w:tcW w:w="748" w:type="pct"/>
            <w:tcBorders>
              <w:top w:val="single" w:sz="4" w:space="0" w:color="auto"/>
              <w:left w:val="single" w:sz="4" w:space="0" w:color="auto"/>
              <w:bottom w:val="single" w:sz="4" w:space="0" w:color="auto"/>
              <w:right w:val="single" w:sz="4" w:space="0" w:color="auto"/>
            </w:tcBorders>
            <w:vAlign w:val="center"/>
            <w:hideMark/>
          </w:tcPr>
          <w:p w14:paraId="500EF515" w14:textId="77777777" w:rsidR="005F2C03" w:rsidRPr="005F2C03" w:rsidRDefault="005F2C03">
            <w:pPr>
              <w:tabs>
                <w:tab w:val="left" w:pos="22"/>
              </w:tabs>
              <w:ind w:right="-136"/>
              <w:rPr>
                <w:rFonts w:cs="Arial"/>
                <w:bCs/>
                <w:color w:val="000000"/>
              </w:rPr>
            </w:pPr>
            <w:r w:rsidRPr="005F2C03">
              <w:rPr>
                <w:rFonts w:cs="Arial"/>
                <w:bCs/>
                <w:color w:val="000000"/>
              </w:rPr>
              <w:t>Comercio</w:t>
            </w:r>
          </w:p>
        </w:tc>
        <w:tc>
          <w:tcPr>
            <w:tcW w:w="1352" w:type="pct"/>
            <w:tcBorders>
              <w:top w:val="single" w:sz="4" w:space="0" w:color="auto"/>
              <w:left w:val="single" w:sz="4" w:space="0" w:color="auto"/>
              <w:bottom w:val="single" w:sz="4" w:space="0" w:color="auto"/>
              <w:right w:val="single" w:sz="4" w:space="0" w:color="auto"/>
            </w:tcBorders>
            <w:vAlign w:val="center"/>
            <w:hideMark/>
          </w:tcPr>
          <w:p w14:paraId="68DD1346" w14:textId="77777777" w:rsidR="005F2C03" w:rsidRPr="005F2C03" w:rsidRDefault="005F2C03">
            <w:pPr>
              <w:tabs>
                <w:tab w:val="left" w:pos="567"/>
              </w:tabs>
              <w:ind w:left="-81" w:right="-63"/>
              <w:rPr>
                <w:rFonts w:cs="Arial"/>
                <w:bCs/>
                <w:color w:val="000000"/>
              </w:rPr>
            </w:pPr>
            <w:r w:rsidRPr="005F2C03">
              <w:rPr>
                <w:rFonts w:cs="Arial"/>
                <w:bCs/>
                <w:color w:val="000000"/>
              </w:rPr>
              <w:t>Inferior o igual a 44.769 UVT.</w:t>
            </w:r>
          </w:p>
        </w:tc>
        <w:tc>
          <w:tcPr>
            <w:tcW w:w="1342" w:type="pct"/>
            <w:tcBorders>
              <w:top w:val="single" w:sz="4" w:space="0" w:color="auto"/>
              <w:left w:val="single" w:sz="4" w:space="0" w:color="auto"/>
              <w:bottom w:val="single" w:sz="4" w:space="0" w:color="auto"/>
              <w:right w:val="single" w:sz="4" w:space="0" w:color="auto"/>
            </w:tcBorders>
            <w:vAlign w:val="center"/>
            <w:hideMark/>
          </w:tcPr>
          <w:p w14:paraId="04394CCF" w14:textId="77777777" w:rsidR="005F2C03" w:rsidRPr="005F2C03" w:rsidRDefault="005F2C03">
            <w:pPr>
              <w:tabs>
                <w:tab w:val="left" w:pos="567"/>
              </w:tabs>
              <w:ind w:left="-161" w:right="-139"/>
              <w:jc w:val="center"/>
              <w:rPr>
                <w:rFonts w:cs="Arial"/>
                <w:bCs/>
                <w:color w:val="000000"/>
              </w:rPr>
            </w:pPr>
            <w:r w:rsidRPr="005F2C03">
              <w:rPr>
                <w:rFonts w:cs="Arial"/>
                <w:bCs/>
                <w:color w:val="000000"/>
              </w:rPr>
              <w:t>Superior a 44.769 e inferior o igual a 431.196 UVT.</w:t>
            </w:r>
          </w:p>
        </w:tc>
        <w:tc>
          <w:tcPr>
            <w:tcW w:w="1557" w:type="pct"/>
            <w:tcBorders>
              <w:top w:val="single" w:sz="4" w:space="0" w:color="auto"/>
              <w:left w:val="single" w:sz="4" w:space="0" w:color="auto"/>
              <w:bottom w:val="single" w:sz="4" w:space="0" w:color="auto"/>
              <w:right w:val="single" w:sz="4" w:space="0" w:color="auto"/>
            </w:tcBorders>
            <w:vAlign w:val="center"/>
            <w:hideMark/>
          </w:tcPr>
          <w:p w14:paraId="254455A7" w14:textId="77777777" w:rsidR="005F2C03" w:rsidRPr="005F2C03" w:rsidRDefault="005F2C03">
            <w:pPr>
              <w:tabs>
                <w:tab w:val="left" w:pos="567"/>
                <w:tab w:val="left" w:pos="1936"/>
              </w:tabs>
              <w:jc w:val="center"/>
              <w:rPr>
                <w:rFonts w:cs="Arial"/>
                <w:bCs/>
                <w:color w:val="000000"/>
              </w:rPr>
            </w:pPr>
            <w:r w:rsidRPr="005F2C03">
              <w:rPr>
                <w:rFonts w:cs="Arial"/>
                <w:bCs/>
                <w:color w:val="000000"/>
              </w:rPr>
              <w:t>Superior a 431.196 UVT e inferior o igual a 2’160.692 UVT.</w:t>
            </w:r>
          </w:p>
        </w:tc>
      </w:tr>
    </w:tbl>
    <w:p w14:paraId="32A52249" w14:textId="77777777" w:rsidR="005F2C03" w:rsidRPr="005F2C03" w:rsidRDefault="005F2C03" w:rsidP="005F2C03">
      <w:pPr>
        <w:tabs>
          <w:tab w:val="left" w:pos="567"/>
        </w:tabs>
        <w:ind w:left="284" w:right="191"/>
        <w:jc w:val="both"/>
        <w:rPr>
          <w:rFonts w:eastAsia="Times New Roman" w:cs="Arial"/>
          <w:bCs/>
          <w:color w:val="000000"/>
          <w:lang w:val="es-ES" w:eastAsia="es-ES"/>
        </w:rPr>
      </w:pPr>
      <w:r w:rsidRPr="005F2C03">
        <w:rPr>
          <w:rFonts w:cs="Arial"/>
          <w:bCs/>
          <w:color w:val="000000"/>
        </w:rPr>
        <w:t> </w:t>
      </w:r>
      <w:r w:rsidRPr="005F2C03">
        <w:rPr>
          <w:rFonts w:cs="Arial"/>
          <w:bCs/>
          <w:color w:val="000000"/>
        </w:rPr>
        <w:tab/>
      </w:r>
    </w:p>
    <w:p w14:paraId="04211D9E" w14:textId="2141E00D" w:rsidR="005F2C03" w:rsidRPr="005F2C03" w:rsidRDefault="005F2C03" w:rsidP="005F2C03">
      <w:pPr>
        <w:tabs>
          <w:tab w:val="left" w:pos="567"/>
          <w:tab w:val="left" w:pos="8222"/>
        </w:tabs>
        <w:ind w:right="51"/>
        <w:jc w:val="both"/>
        <w:rPr>
          <w:rFonts w:cs="Arial"/>
          <w:bCs/>
          <w:color w:val="000000"/>
        </w:rPr>
      </w:pPr>
      <w:r w:rsidRPr="005F2C03">
        <w:rPr>
          <w:rFonts w:cs="Arial"/>
          <w:bCs/>
          <w:color w:val="000000"/>
        </w:rPr>
        <w:t>Según la resolución 187 del 28 de noviembre de 2023 de la Unidad Administrativa Especial Dirección de Impuestos y Aduanas Nacionales (DIAN), el UVT para el 202</w:t>
      </w:r>
      <w:r>
        <w:rPr>
          <w:rFonts w:cs="Arial"/>
          <w:bCs/>
          <w:color w:val="000000"/>
        </w:rPr>
        <w:t>4</w:t>
      </w:r>
      <w:r w:rsidRPr="005F2C03">
        <w:rPr>
          <w:rFonts w:cs="Arial"/>
          <w:bCs/>
          <w:color w:val="000000"/>
        </w:rPr>
        <w:t xml:space="preserve"> quedó en $47.065.</w:t>
      </w:r>
    </w:p>
    <w:p w14:paraId="0579FABD" w14:textId="77777777" w:rsidR="005F2C03" w:rsidRPr="005F2C03" w:rsidRDefault="005F2C03" w:rsidP="005F2C03">
      <w:pPr>
        <w:tabs>
          <w:tab w:val="left" w:pos="567"/>
          <w:tab w:val="left" w:pos="8222"/>
        </w:tabs>
        <w:ind w:right="51"/>
        <w:jc w:val="both"/>
        <w:rPr>
          <w:rFonts w:cs="Arial"/>
          <w:bCs/>
          <w:color w:val="000000"/>
        </w:rPr>
      </w:pPr>
    </w:p>
    <w:p w14:paraId="3394CAF3" w14:textId="77777777" w:rsidR="005F2C03" w:rsidRPr="005F2C03" w:rsidRDefault="005F2C03" w:rsidP="005F2C03">
      <w:pPr>
        <w:tabs>
          <w:tab w:val="left" w:pos="567"/>
          <w:tab w:val="left" w:pos="8222"/>
        </w:tabs>
        <w:ind w:right="51"/>
        <w:jc w:val="both"/>
        <w:rPr>
          <w:rFonts w:cs="Arial"/>
          <w:bCs/>
          <w:color w:val="000000"/>
        </w:rPr>
      </w:pPr>
      <w:r w:rsidRPr="005F2C03">
        <w:rPr>
          <w:rFonts w:cs="Arial"/>
          <w:bCs/>
          <w:color w:val="000000"/>
        </w:rPr>
        <w:t>De acuerdo con lo anterior, los rangos para determinar el valor de los ingresos por actividades ordinarias anuales de acuerdo con el sector económico de que se trate quedan de la siguiente manera:</w:t>
      </w:r>
    </w:p>
    <w:p w14:paraId="6E3A9F25" w14:textId="77777777" w:rsidR="005F2C03" w:rsidRPr="005F2C03" w:rsidRDefault="005F2C03" w:rsidP="005F2C03">
      <w:pPr>
        <w:tabs>
          <w:tab w:val="left" w:pos="567"/>
          <w:tab w:val="left" w:pos="8222"/>
        </w:tabs>
        <w:ind w:right="51"/>
        <w:jc w:val="both"/>
        <w:rPr>
          <w:rFonts w:cs="Arial"/>
          <w:bCs/>
          <w:color w:val="000000"/>
        </w:rPr>
      </w:pPr>
    </w:p>
    <w:p w14:paraId="59F84A99" w14:textId="4B4066D7" w:rsidR="005F2C03" w:rsidRPr="005F2C03" w:rsidRDefault="005F2C03" w:rsidP="005F2C03">
      <w:pPr>
        <w:tabs>
          <w:tab w:val="left" w:pos="567"/>
        </w:tabs>
        <w:ind w:left="284" w:right="191"/>
        <w:jc w:val="center"/>
        <w:rPr>
          <w:rFonts w:cs="Arial"/>
          <w:bCs/>
          <w:color w:val="000000"/>
        </w:rPr>
      </w:pPr>
      <w:r w:rsidRPr="005F2C03">
        <w:rPr>
          <w:rFonts w:cs="Arial"/>
          <w:noProof/>
          <w:color w:val="000000"/>
        </w:rPr>
        <w:drawing>
          <wp:inline distT="0" distB="0" distL="0" distR="0" wp14:anchorId="0DB292BB" wp14:editId="28010C44">
            <wp:extent cx="5219700" cy="1181100"/>
            <wp:effectExtent l="0" t="0" r="0" b="0"/>
            <wp:docPr id="1163495698"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9700" cy="1181100"/>
                    </a:xfrm>
                    <a:prstGeom prst="rect">
                      <a:avLst/>
                    </a:prstGeom>
                    <a:noFill/>
                    <a:ln>
                      <a:noFill/>
                    </a:ln>
                  </pic:spPr>
                </pic:pic>
              </a:graphicData>
            </a:graphic>
          </wp:inline>
        </w:drawing>
      </w:r>
    </w:p>
    <w:p w14:paraId="2552A8AC" w14:textId="77777777" w:rsidR="005F2C03" w:rsidRPr="005F2C03" w:rsidRDefault="005F2C03" w:rsidP="005F2C03">
      <w:pPr>
        <w:tabs>
          <w:tab w:val="left" w:pos="567"/>
        </w:tabs>
        <w:ind w:right="51"/>
        <w:jc w:val="both"/>
        <w:rPr>
          <w:rFonts w:cs="Arial"/>
          <w:bCs/>
          <w:color w:val="000000"/>
        </w:rPr>
      </w:pPr>
      <w:bookmarkStart w:id="25" w:name="_Hlk159597603"/>
    </w:p>
    <w:p w14:paraId="6F1DA732" w14:textId="77777777" w:rsidR="005F2C03" w:rsidRPr="005F2C03" w:rsidRDefault="005F2C03" w:rsidP="005F2C03">
      <w:pPr>
        <w:tabs>
          <w:tab w:val="left" w:pos="567"/>
        </w:tabs>
        <w:ind w:right="51"/>
        <w:jc w:val="both"/>
        <w:rPr>
          <w:rFonts w:cs="Arial"/>
          <w:bCs/>
          <w:color w:val="000000"/>
        </w:rPr>
      </w:pPr>
      <w:r w:rsidRPr="005F2C03">
        <w:rPr>
          <w:rFonts w:cs="Arial"/>
          <w:bCs/>
          <w:color w:val="000000"/>
        </w:rPr>
        <w:t xml:space="preserve">Señalando cómo se establecieron las empresas referentes del análisis de MiPymes, se tiene como resultado que las compañías de seguros presentan una clasificación de </w:t>
      </w:r>
      <w:r w:rsidRPr="005F2C03">
        <w:rPr>
          <w:rFonts w:cs="Arial"/>
          <w:bCs/>
          <w:color w:val="000000"/>
          <w:u w:val="single"/>
        </w:rPr>
        <w:t>Gran Empresa</w:t>
      </w:r>
      <w:r w:rsidRPr="005F2C03">
        <w:rPr>
          <w:rFonts w:cs="Arial"/>
          <w:bCs/>
          <w:color w:val="000000"/>
        </w:rPr>
        <w:t>, la cual es corroborada directamente en el certificado de cámara de comercio expedido para cada una de ellas.</w:t>
      </w:r>
      <w:bookmarkEnd w:id="25"/>
    </w:p>
    <w:p w14:paraId="5FA42BC3" w14:textId="77777777" w:rsidR="005F2C03" w:rsidRPr="005F2C03" w:rsidRDefault="005F2C03" w:rsidP="005F2C03">
      <w:pPr>
        <w:tabs>
          <w:tab w:val="left" w:pos="567"/>
        </w:tabs>
        <w:ind w:right="51"/>
        <w:jc w:val="both"/>
        <w:rPr>
          <w:rFonts w:cs="Arial"/>
        </w:rPr>
      </w:pPr>
    </w:p>
    <w:tbl>
      <w:tblPr>
        <w:tblW w:w="5000" w:type="pct"/>
        <w:jc w:val="center"/>
        <w:tblLook w:val="06A0" w:firstRow="1" w:lastRow="0" w:firstColumn="1" w:lastColumn="0" w:noHBand="1" w:noVBand="1"/>
      </w:tblPr>
      <w:tblGrid>
        <w:gridCol w:w="5093"/>
        <w:gridCol w:w="1702"/>
        <w:gridCol w:w="2023"/>
      </w:tblGrid>
      <w:tr w:rsidR="005F2C03" w:rsidRPr="005F2C03" w14:paraId="44262273" w14:textId="77777777" w:rsidTr="005F2C03">
        <w:trPr>
          <w:trHeight w:val="60"/>
          <w:tblHeader/>
          <w:jc w:val="center"/>
        </w:trPr>
        <w:tc>
          <w:tcPr>
            <w:tcW w:w="2888" w:type="pct"/>
            <w:tcBorders>
              <w:top w:val="single" w:sz="8" w:space="0" w:color="auto"/>
              <w:left w:val="single" w:sz="8" w:space="0" w:color="auto"/>
              <w:bottom w:val="single" w:sz="8" w:space="0" w:color="auto"/>
              <w:right w:val="single" w:sz="8" w:space="0" w:color="auto"/>
            </w:tcBorders>
            <w:shd w:val="clear" w:color="auto" w:fill="B7D4EF"/>
            <w:tcMar>
              <w:top w:w="0" w:type="dxa"/>
              <w:left w:w="70" w:type="dxa"/>
              <w:bottom w:w="0" w:type="dxa"/>
              <w:right w:w="70" w:type="dxa"/>
            </w:tcMar>
            <w:vAlign w:val="center"/>
            <w:hideMark/>
          </w:tcPr>
          <w:p w14:paraId="382FC8C2" w14:textId="77777777" w:rsidR="005F2C03" w:rsidRPr="005F2C03" w:rsidRDefault="005F2C03">
            <w:pPr>
              <w:tabs>
                <w:tab w:val="left" w:pos="567"/>
              </w:tabs>
              <w:ind w:left="96" w:right="191"/>
              <w:jc w:val="center"/>
              <w:rPr>
                <w:rFonts w:cs="Arial"/>
                <w:b/>
              </w:rPr>
            </w:pPr>
            <w:bookmarkStart w:id="26" w:name="_Hlk159597672"/>
            <w:r w:rsidRPr="005F2C03">
              <w:rPr>
                <w:rFonts w:cs="Arial"/>
                <w:b/>
              </w:rPr>
              <w:t>PROVEEDOR</w:t>
            </w:r>
          </w:p>
        </w:tc>
        <w:tc>
          <w:tcPr>
            <w:tcW w:w="965" w:type="pct"/>
            <w:tcBorders>
              <w:top w:val="single" w:sz="8" w:space="0" w:color="auto"/>
              <w:left w:val="single" w:sz="8" w:space="0" w:color="auto"/>
              <w:bottom w:val="single" w:sz="8" w:space="0" w:color="auto"/>
              <w:right w:val="single" w:sz="8" w:space="0" w:color="auto"/>
            </w:tcBorders>
            <w:shd w:val="clear" w:color="auto" w:fill="B7D4EF"/>
            <w:tcMar>
              <w:top w:w="0" w:type="dxa"/>
              <w:left w:w="70" w:type="dxa"/>
              <w:bottom w:w="0" w:type="dxa"/>
              <w:right w:w="70" w:type="dxa"/>
            </w:tcMar>
            <w:vAlign w:val="center"/>
            <w:hideMark/>
          </w:tcPr>
          <w:p w14:paraId="1C358A0E" w14:textId="77777777" w:rsidR="005F2C03" w:rsidRPr="005F2C03" w:rsidRDefault="005F2C03">
            <w:pPr>
              <w:tabs>
                <w:tab w:val="left" w:pos="567"/>
              </w:tabs>
              <w:jc w:val="center"/>
              <w:rPr>
                <w:rFonts w:cs="Arial"/>
                <w:b/>
              </w:rPr>
            </w:pPr>
            <w:r w:rsidRPr="005F2C03">
              <w:rPr>
                <w:rFonts w:cs="Arial"/>
                <w:b/>
              </w:rPr>
              <w:t>NIT</w:t>
            </w:r>
          </w:p>
        </w:tc>
        <w:tc>
          <w:tcPr>
            <w:tcW w:w="1147" w:type="pct"/>
            <w:tcBorders>
              <w:top w:val="single" w:sz="8" w:space="0" w:color="auto"/>
              <w:left w:val="single" w:sz="8" w:space="0" w:color="auto"/>
              <w:bottom w:val="single" w:sz="8" w:space="0" w:color="auto"/>
              <w:right w:val="single" w:sz="8" w:space="0" w:color="auto"/>
            </w:tcBorders>
            <w:shd w:val="clear" w:color="auto" w:fill="B7D4EF"/>
            <w:tcMar>
              <w:top w:w="0" w:type="dxa"/>
              <w:left w:w="70" w:type="dxa"/>
              <w:bottom w:w="0" w:type="dxa"/>
              <w:right w:w="70" w:type="dxa"/>
            </w:tcMar>
            <w:vAlign w:val="center"/>
            <w:hideMark/>
          </w:tcPr>
          <w:p w14:paraId="4CFDEAD1" w14:textId="77777777" w:rsidR="005F2C03" w:rsidRPr="005F2C03" w:rsidRDefault="005F2C03">
            <w:pPr>
              <w:tabs>
                <w:tab w:val="left" w:pos="567"/>
              </w:tabs>
              <w:ind w:left="64" w:right="-7"/>
              <w:jc w:val="center"/>
              <w:rPr>
                <w:rFonts w:cs="Arial"/>
                <w:b/>
              </w:rPr>
            </w:pPr>
            <w:r w:rsidRPr="005F2C03">
              <w:rPr>
                <w:rFonts w:cs="Arial"/>
                <w:b/>
              </w:rPr>
              <w:t>CLASIFICACIÓN -TAMAÑO EMPRESA</w:t>
            </w:r>
          </w:p>
        </w:tc>
      </w:tr>
      <w:tr w:rsidR="005F2C03" w:rsidRPr="005F2C03" w14:paraId="318A7F12" w14:textId="77777777" w:rsidTr="005F2C03">
        <w:trPr>
          <w:trHeight w:val="310"/>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6047D68" w14:textId="77777777" w:rsidR="005F2C03" w:rsidRPr="005F2C03" w:rsidRDefault="005F2C03">
            <w:pPr>
              <w:tabs>
                <w:tab w:val="left" w:pos="567"/>
              </w:tabs>
              <w:ind w:left="96" w:right="191"/>
              <w:jc w:val="both"/>
              <w:rPr>
                <w:rFonts w:cs="Arial"/>
                <w:bCs/>
                <w:color w:val="000000"/>
              </w:rPr>
            </w:pPr>
            <w:r w:rsidRPr="005F2C03">
              <w:rPr>
                <w:rFonts w:cs="Arial"/>
                <w:bCs/>
                <w:color w:val="000000"/>
              </w:rPr>
              <w:t>SEGUROS GENERALES SURAMERICANA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54BBA45" w14:textId="77777777" w:rsidR="005F2C03" w:rsidRPr="005F2C03" w:rsidRDefault="005F2C03">
            <w:pPr>
              <w:tabs>
                <w:tab w:val="left" w:pos="567"/>
              </w:tabs>
              <w:jc w:val="center"/>
              <w:rPr>
                <w:rFonts w:cs="Arial"/>
                <w:bCs/>
                <w:color w:val="000000"/>
              </w:rPr>
            </w:pPr>
            <w:r w:rsidRPr="005F2C03">
              <w:rPr>
                <w:rFonts w:cs="Arial"/>
                <w:bCs/>
                <w:color w:val="000000"/>
              </w:rPr>
              <w:t>890903407</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535F1CF"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50F088CA" w14:textId="77777777" w:rsidTr="005F2C03">
        <w:trPr>
          <w:trHeight w:val="60"/>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939AC88" w14:textId="77777777" w:rsidR="005F2C03" w:rsidRPr="005F2C03" w:rsidRDefault="005F2C03">
            <w:pPr>
              <w:tabs>
                <w:tab w:val="left" w:pos="567"/>
              </w:tabs>
              <w:ind w:left="96" w:right="191"/>
              <w:jc w:val="both"/>
              <w:rPr>
                <w:rFonts w:cs="Arial"/>
                <w:bCs/>
                <w:color w:val="000000"/>
              </w:rPr>
            </w:pPr>
            <w:r w:rsidRPr="005F2C03">
              <w:rPr>
                <w:rFonts w:cs="Arial"/>
                <w:bCs/>
                <w:color w:val="000000"/>
              </w:rPr>
              <w:t>MAPFRE COLOMBIANA VIDA SEGUROS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49CB2D4" w14:textId="77777777" w:rsidR="005F2C03" w:rsidRPr="005F2C03" w:rsidRDefault="005F2C03">
            <w:pPr>
              <w:tabs>
                <w:tab w:val="left" w:pos="567"/>
              </w:tabs>
              <w:jc w:val="center"/>
              <w:rPr>
                <w:rFonts w:cs="Arial"/>
                <w:bCs/>
                <w:color w:val="000000"/>
              </w:rPr>
            </w:pPr>
            <w:r w:rsidRPr="005F2C03">
              <w:rPr>
                <w:rFonts w:cs="Arial"/>
                <w:bCs/>
                <w:color w:val="000000"/>
              </w:rPr>
              <w:t>830054904</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A852531"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1DF6D45D" w14:textId="77777777" w:rsidTr="005F2C03">
        <w:trPr>
          <w:trHeight w:val="123"/>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6BC8BDE" w14:textId="77777777" w:rsidR="005F2C03" w:rsidRPr="005F2C03" w:rsidRDefault="005F2C03">
            <w:pPr>
              <w:tabs>
                <w:tab w:val="left" w:pos="567"/>
              </w:tabs>
              <w:ind w:left="96" w:right="191"/>
              <w:jc w:val="both"/>
              <w:rPr>
                <w:rFonts w:cs="Arial"/>
                <w:bCs/>
                <w:color w:val="000000"/>
              </w:rPr>
            </w:pPr>
            <w:r w:rsidRPr="005F2C03">
              <w:rPr>
                <w:rFonts w:cs="Arial"/>
                <w:bCs/>
                <w:color w:val="000000"/>
              </w:rPr>
              <w:t>ALLIANZ SEGUROS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9F5C" w14:textId="77777777" w:rsidR="005F2C03" w:rsidRPr="005F2C03" w:rsidRDefault="005F2C03">
            <w:pPr>
              <w:tabs>
                <w:tab w:val="left" w:pos="567"/>
              </w:tabs>
              <w:jc w:val="center"/>
              <w:rPr>
                <w:rFonts w:cs="Arial"/>
                <w:bCs/>
                <w:color w:val="000000"/>
              </w:rPr>
            </w:pPr>
            <w:r w:rsidRPr="005F2C03">
              <w:rPr>
                <w:rFonts w:cs="Arial"/>
                <w:bCs/>
                <w:color w:val="000000"/>
              </w:rPr>
              <w:t>860026182</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54472DA"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770E94AE" w14:textId="77777777" w:rsidTr="005F2C03">
        <w:trPr>
          <w:trHeight w:val="60"/>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13DABFC" w14:textId="77777777" w:rsidR="005F2C03" w:rsidRPr="005F2C03" w:rsidRDefault="005F2C03">
            <w:pPr>
              <w:tabs>
                <w:tab w:val="left" w:pos="567"/>
              </w:tabs>
              <w:ind w:left="96" w:right="191"/>
              <w:jc w:val="both"/>
              <w:rPr>
                <w:rFonts w:cs="Arial"/>
                <w:bCs/>
                <w:color w:val="000000"/>
              </w:rPr>
            </w:pPr>
            <w:r w:rsidRPr="005F2C03">
              <w:rPr>
                <w:rFonts w:cs="Arial"/>
                <w:bCs/>
                <w:color w:val="000000"/>
              </w:rPr>
              <w:t>LIBERTY SEGUROS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5FB9EDD" w14:textId="77777777" w:rsidR="005F2C03" w:rsidRPr="005F2C03" w:rsidRDefault="005F2C03">
            <w:pPr>
              <w:tabs>
                <w:tab w:val="left" w:pos="567"/>
              </w:tabs>
              <w:jc w:val="center"/>
              <w:rPr>
                <w:rFonts w:cs="Arial"/>
                <w:bCs/>
                <w:color w:val="000000"/>
              </w:rPr>
            </w:pPr>
            <w:r w:rsidRPr="005F2C03">
              <w:rPr>
                <w:rFonts w:cs="Arial"/>
                <w:bCs/>
                <w:color w:val="000000"/>
              </w:rPr>
              <w:t>860039988</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10A6698"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4C84F4FD" w14:textId="77777777" w:rsidTr="005F2C03">
        <w:trPr>
          <w:trHeight w:val="221"/>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56AD1A6" w14:textId="77777777" w:rsidR="005F2C03" w:rsidRPr="005F2C03" w:rsidRDefault="005F2C03">
            <w:pPr>
              <w:tabs>
                <w:tab w:val="left" w:pos="567"/>
              </w:tabs>
              <w:ind w:left="96" w:right="191"/>
              <w:jc w:val="both"/>
              <w:rPr>
                <w:rFonts w:cs="Arial"/>
                <w:bCs/>
                <w:color w:val="000000"/>
              </w:rPr>
            </w:pPr>
            <w:r w:rsidRPr="005F2C03">
              <w:rPr>
                <w:rFonts w:cs="Arial"/>
                <w:bCs/>
                <w:color w:val="000000"/>
              </w:rPr>
              <w:t>ASEGURADORA SOLIDARIA DE COLOMBIA E.C.</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DF97949" w14:textId="77777777" w:rsidR="005F2C03" w:rsidRPr="005F2C03" w:rsidRDefault="005F2C03">
            <w:pPr>
              <w:tabs>
                <w:tab w:val="left" w:pos="567"/>
              </w:tabs>
              <w:jc w:val="center"/>
              <w:rPr>
                <w:rFonts w:cs="Arial"/>
                <w:bCs/>
                <w:color w:val="000000"/>
              </w:rPr>
            </w:pPr>
            <w:r w:rsidRPr="005F2C03">
              <w:rPr>
                <w:rFonts w:cs="Arial"/>
                <w:bCs/>
                <w:color w:val="000000"/>
              </w:rPr>
              <w:t>860524654</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6AED743"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62E1BB11" w14:textId="77777777" w:rsidTr="005F2C03">
        <w:trPr>
          <w:trHeight w:val="211"/>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3B76AF9" w14:textId="77777777" w:rsidR="005F2C03" w:rsidRPr="005F2C03" w:rsidRDefault="005F2C03">
            <w:pPr>
              <w:tabs>
                <w:tab w:val="left" w:pos="567"/>
              </w:tabs>
              <w:ind w:left="96" w:right="191"/>
              <w:jc w:val="both"/>
              <w:rPr>
                <w:rFonts w:cs="Arial"/>
                <w:bCs/>
                <w:color w:val="000000"/>
              </w:rPr>
            </w:pPr>
            <w:r w:rsidRPr="005F2C03">
              <w:rPr>
                <w:rFonts w:cs="Arial"/>
                <w:bCs/>
                <w:color w:val="000000"/>
              </w:rPr>
              <w:t>LA PREVISORA S.A. COMPAÑÍA DE SEGUROS</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E8F9CDC" w14:textId="77777777" w:rsidR="005F2C03" w:rsidRPr="005F2C03" w:rsidRDefault="005F2C03">
            <w:pPr>
              <w:tabs>
                <w:tab w:val="left" w:pos="567"/>
              </w:tabs>
              <w:jc w:val="center"/>
              <w:rPr>
                <w:rFonts w:cs="Arial"/>
                <w:bCs/>
                <w:color w:val="000000"/>
              </w:rPr>
            </w:pPr>
            <w:r w:rsidRPr="005F2C03">
              <w:rPr>
                <w:rFonts w:cs="Arial"/>
                <w:bCs/>
                <w:color w:val="000000"/>
              </w:rPr>
              <w:t>860002400</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6818BEB"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1FEE4C0E" w14:textId="77777777" w:rsidTr="005F2C03">
        <w:trPr>
          <w:trHeight w:val="219"/>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8D26F65" w14:textId="77777777" w:rsidR="005F2C03" w:rsidRPr="005F2C03" w:rsidRDefault="005F2C03">
            <w:pPr>
              <w:tabs>
                <w:tab w:val="left" w:pos="567"/>
              </w:tabs>
              <w:ind w:left="96" w:right="191"/>
              <w:jc w:val="both"/>
              <w:rPr>
                <w:rFonts w:cs="Arial"/>
                <w:bCs/>
                <w:color w:val="000000"/>
              </w:rPr>
            </w:pPr>
            <w:r w:rsidRPr="005F2C03">
              <w:rPr>
                <w:rFonts w:cs="Arial"/>
                <w:bCs/>
                <w:color w:val="000000"/>
              </w:rPr>
              <w:t>SEGUROS DEL ESTADO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C081E9B" w14:textId="77777777" w:rsidR="005F2C03" w:rsidRPr="005F2C03" w:rsidRDefault="005F2C03">
            <w:pPr>
              <w:tabs>
                <w:tab w:val="left" w:pos="567"/>
              </w:tabs>
              <w:jc w:val="center"/>
              <w:rPr>
                <w:rFonts w:cs="Arial"/>
                <w:bCs/>
                <w:color w:val="000000"/>
              </w:rPr>
            </w:pPr>
            <w:r w:rsidRPr="005F2C03">
              <w:rPr>
                <w:rFonts w:cs="Arial"/>
                <w:bCs/>
                <w:color w:val="000000"/>
              </w:rPr>
              <w:t>860009578</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E8ADA87"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56FB27AA" w14:textId="77777777" w:rsidTr="005F2C03">
        <w:trPr>
          <w:trHeight w:val="153"/>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3E874DA" w14:textId="77777777" w:rsidR="005F2C03" w:rsidRPr="005F2C03" w:rsidRDefault="005F2C03">
            <w:pPr>
              <w:tabs>
                <w:tab w:val="left" w:pos="567"/>
              </w:tabs>
              <w:ind w:left="96" w:right="191"/>
              <w:jc w:val="both"/>
              <w:rPr>
                <w:rFonts w:cs="Arial"/>
                <w:bCs/>
                <w:color w:val="000000"/>
              </w:rPr>
            </w:pPr>
            <w:r w:rsidRPr="005F2C03">
              <w:rPr>
                <w:rFonts w:cs="Arial"/>
                <w:bCs/>
                <w:color w:val="000000"/>
              </w:rPr>
              <w:t>AXA COLPATRIA SEGUROS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7D798C6" w14:textId="77777777" w:rsidR="005F2C03" w:rsidRPr="005F2C03" w:rsidRDefault="005F2C03">
            <w:pPr>
              <w:tabs>
                <w:tab w:val="left" w:pos="567"/>
              </w:tabs>
              <w:jc w:val="center"/>
              <w:rPr>
                <w:rFonts w:cs="Arial"/>
                <w:bCs/>
                <w:color w:val="000000"/>
              </w:rPr>
            </w:pPr>
            <w:r w:rsidRPr="005F2C03">
              <w:rPr>
                <w:rFonts w:cs="Arial"/>
                <w:bCs/>
                <w:color w:val="000000"/>
              </w:rPr>
              <w:t>860002184</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50CCC02"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r w:rsidR="005F2C03" w:rsidRPr="005F2C03" w14:paraId="2255B86D" w14:textId="77777777" w:rsidTr="005F2C03">
        <w:trPr>
          <w:trHeight w:val="60"/>
          <w:jc w:val="center"/>
        </w:trPr>
        <w:tc>
          <w:tcPr>
            <w:tcW w:w="2888"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C2D94C6" w14:textId="77777777" w:rsidR="005F2C03" w:rsidRPr="005F2C03" w:rsidRDefault="005F2C03">
            <w:pPr>
              <w:tabs>
                <w:tab w:val="left" w:pos="567"/>
              </w:tabs>
              <w:ind w:left="96" w:right="191"/>
              <w:jc w:val="both"/>
              <w:rPr>
                <w:rFonts w:cs="Arial"/>
                <w:bCs/>
                <w:color w:val="000000"/>
              </w:rPr>
            </w:pPr>
            <w:r w:rsidRPr="005F2C03">
              <w:rPr>
                <w:rFonts w:cs="Arial"/>
                <w:bCs/>
                <w:color w:val="000000"/>
              </w:rPr>
              <w:t>SEGUROS MUNDIAL S.A.</w:t>
            </w:r>
          </w:p>
        </w:tc>
        <w:tc>
          <w:tcPr>
            <w:tcW w:w="965"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BB15EF8" w14:textId="77777777" w:rsidR="005F2C03" w:rsidRPr="005F2C03" w:rsidRDefault="005F2C03">
            <w:pPr>
              <w:tabs>
                <w:tab w:val="left" w:pos="567"/>
              </w:tabs>
              <w:jc w:val="center"/>
              <w:rPr>
                <w:rFonts w:cs="Arial"/>
                <w:bCs/>
                <w:color w:val="000000"/>
              </w:rPr>
            </w:pPr>
            <w:r w:rsidRPr="005F2C03">
              <w:rPr>
                <w:rFonts w:cs="Arial"/>
                <w:bCs/>
                <w:color w:val="000000"/>
              </w:rPr>
              <w:t>860037013</w:t>
            </w:r>
          </w:p>
        </w:tc>
        <w:tc>
          <w:tcPr>
            <w:tcW w:w="1147"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E9557CA" w14:textId="77777777" w:rsidR="005F2C03" w:rsidRPr="005F2C03" w:rsidRDefault="005F2C03">
            <w:pPr>
              <w:tabs>
                <w:tab w:val="left" w:pos="567"/>
              </w:tabs>
              <w:ind w:left="64" w:right="-7"/>
              <w:jc w:val="center"/>
              <w:rPr>
                <w:rFonts w:cs="Arial"/>
                <w:bCs/>
                <w:color w:val="000000"/>
              </w:rPr>
            </w:pPr>
            <w:r w:rsidRPr="005F2C03">
              <w:rPr>
                <w:rFonts w:cs="Arial"/>
                <w:bCs/>
                <w:color w:val="000000"/>
              </w:rPr>
              <w:t>Gran Empresa</w:t>
            </w:r>
          </w:p>
        </w:tc>
      </w:tr>
    </w:tbl>
    <w:p w14:paraId="4D90F17B" w14:textId="77777777" w:rsidR="005F2C03" w:rsidRPr="005F2C03" w:rsidRDefault="005F2C03" w:rsidP="005F2C03">
      <w:pPr>
        <w:tabs>
          <w:tab w:val="left" w:pos="567"/>
        </w:tabs>
        <w:ind w:right="191"/>
        <w:jc w:val="both"/>
        <w:rPr>
          <w:rFonts w:eastAsia="Times New Roman" w:cs="Arial"/>
          <w:bCs/>
          <w:color w:val="000000"/>
          <w:lang w:val="es-ES" w:eastAsia="es-ES"/>
        </w:rPr>
      </w:pPr>
      <w:bookmarkStart w:id="27" w:name="_Hlk164410544"/>
      <w:bookmarkEnd w:id="26"/>
    </w:p>
    <w:p w14:paraId="4C8CEB40" w14:textId="77777777" w:rsidR="005F2C03" w:rsidRPr="005F2C03" w:rsidRDefault="005F2C03" w:rsidP="005F2C03">
      <w:pPr>
        <w:tabs>
          <w:tab w:val="left" w:pos="567"/>
        </w:tabs>
        <w:ind w:right="51"/>
        <w:jc w:val="both"/>
        <w:rPr>
          <w:rFonts w:cs="Arial"/>
        </w:rPr>
      </w:pPr>
      <w:r w:rsidRPr="005F2C03">
        <w:rPr>
          <w:rFonts w:cs="Arial"/>
          <w:bCs/>
          <w:color w:val="000000"/>
        </w:rPr>
        <w:t xml:space="preserve">En ese orden de ideas, </w:t>
      </w:r>
      <w:r w:rsidRPr="005F2C03">
        <w:rPr>
          <w:rFonts w:cs="Arial"/>
          <w:u w:val="single"/>
        </w:rPr>
        <w:t>no se cumple el requisito de limitación a MIPYMES</w:t>
      </w:r>
      <w:r w:rsidRPr="005F2C03">
        <w:rPr>
          <w:rFonts w:cs="Arial"/>
        </w:rPr>
        <w:t xml:space="preserve"> para empresas clasificadas como medianas o pequeñas empresas.</w:t>
      </w:r>
    </w:p>
    <w:p w14:paraId="5529E1D9" w14:textId="77777777" w:rsidR="005F2C03" w:rsidRPr="005F2C03" w:rsidRDefault="005F2C03" w:rsidP="005F2C03">
      <w:pPr>
        <w:tabs>
          <w:tab w:val="left" w:pos="567"/>
        </w:tabs>
        <w:ind w:right="51"/>
        <w:jc w:val="both"/>
        <w:rPr>
          <w:rFonts w:cs="Arial"/>
        </w:rPr>
      </w:pPr>
    </w:p>
    <w:bookmarkEnd w:id="27"/>
    <w:p w14:paraId="42CA1561" w14:textId="77777777" w:rsidR="005F2C03" w:rsidRPr="005F2C03" w:rsidRDefault="005F2C03" w:rsidP="005F2C03">
      <w:pPr>
        <w:jc w:val="both"/>
        <w:rPr>
          <w:rFonts w:cs="Arial"/>
          <w:b/>
          <w:bCs/>
        </w:rPr>
      </w:pPr>
      <w:r w:rsidRPr="005F2C03">
        <w:rPr>
          <w:rFonts w:cs="Arial"/>
          <w:b/>
          <w:bCs/>
        </w:rPr>
        <w:t>CRITERIOS DIFERENCIALES PARA MIPYMES</w:t>
      </w:r>
    </w:p>
    <w:p w14:paraId="5DA2F205" w14:textId="77777777" w:rsidR="005F2C03" w:rsidRPr="005F2C03" w:rsidRDefault="005F2C03" w:rsidP="005F2C03">
      <w:pPr>
        <w:jc w:val="both"/>
        <w:rPr>
          <w:rFonts w:cs="Arial"/>
        </w:rPr>
      </w:pPr>
    </w:p>
    <w:p w14:paraId="4F2B841B" w14:textId="2CA48172" w:rsidR="005F2C03" w:rsidRPr="005F2C03" w:rsidRDefault="005F2C03" w:rsidP="005F2C03">
      <w:pPr>
        <w:ind w:right="51"/>
        <w:jc w:val="both"/>
        <w:rPr>
          <w:rFonts w:eastAsia="Arial Narrow" w:cs="Arial"/>
        </w:rPr>
      </w:pPr>
      <w:r w:rsidRPr="005F2C03">
        <w:rPr>
          <w:rFonts w:cs="Arial"/>
          <w:iCs/>
          <w:lang w:val="es-ES_tradnl"/>
        </w:rPr>
        <w:t xml:space="preserve">La </w:t>
      </w:r>
      <w:r>
        <w:rPr>
          <w:rFonts w:cs="Arial"/>
          <w:iCs/>
          <w:lang w:val="es-ES_tradnl"/>
        </w:rPr>
        <w:t>ELC</w:t>
      </w:r>
      <w:r w:rsidRPr="005F2C03">
        <w:rPr>
          <w:rFonts w:eastAsia="Arial Narrow" w:cs="Arial"/>
        </w:rPr>
        <w:t xml:space="preserve"> no considera oportuno implementar criterios diferenciales ni puntajes adicionales para MIPYMES, teniendo en cuenta el análisis realizado en el estudio del sector, en el cual se indica que las compañías de seguros presentan una clasificación de Gran Empresa, la cual es corroborada directamente en el certificado de Cámara de Comercio expedido para cada una de ellas.</w:t>
      </w:r>
    </w:p>
    <w:p w14:paraId="5377D4ED" w14:textId="77777777" w:rsidR="005F2C03" w:rsidRPr="005F2C03" w:rsidRDefault="005F2C03" w:rsidP="005F2C03">
      <w:pPr>
        <w:ind w:right="51"/>
        <w:jc w:val="both"/>
        <w:rPr>
          <w:rFonts w:eastAsia="Arial Narrow" w:cs="Arial"/>
        </w:rPr>
      </w:pPr>
    </w:p>
    <w:p w14:paraId="73E9C8F9" w14:textId="77777777" w:rsidR="005F2C03" w:rsidRPr="005F2C03" w:rsidRDefault="005F2C03" w:rsidP="005F2C03">
      <w:pPr>
        <w:widowControl w:val="0"/>
        <w:jc w:val="both"/>
        <w:rPr>
          <w:rFonts w:cs="Arial"/>
          <w:b/>
        </w:rPr>
      </w:pPr>
      <w:r w:rsidRPr="005F2C03">
        <w:rPr>
          <w:rFonts w:cs="Arial"/>
          <w:b/>
        </w:rPr>
        <w:t>FOMENTO A LA EJECUCIÓN DE CONTRATOS ESTATALES POR PARTE DE POBLACIÓN EN POBREZA EXTREMA, DESPLAZADOS POR LA VIOLENCIA, PERSONAS EN PROCESO DE REINTEGRACIÓN O REINCORPORACIÓN Y SUJETOS DE ESPECIAL PROTECCIÓN CONSTITUCIONAL.</w:t>
      </w:r>
    </w:p>
    <w:p w14:paraId="6ACFE494" w14:textId="77777777" w:rsidR="005F2C03" w:rsidRPr="005F2C03" w:rsidRDefault="005F2C03" w:rsidP="005F2C03">
      <w:pPr>
        <w:jc w:val="both"/>
        <w:rPr>
          <w:rFonts w:cs="Arial"/>
        </w:rPr>
      </w:pPr>
    </w:p>
    <w:p w14:paraId="4480DFCD" w14:textId="77777777" w:rsidR="005F2C03" w:rsidRPr="005F2C03" w:rsidRDefault="005F2C03" w:rsidP="005F2C03">
      <w:pPr>
        <w:jc w:val="both"/>
        <w:rPr>
          <w:rFonts w:cs="Arial"/>
        </w:rPr>
      </w:pPr>
      <w:r w:rsidRPr="005F2C03">
        <w:rPr>
          <w:rFonts w:cs="Arial"/>
        </w:rPr>
        <w:t>De conformidad con el artículo 2.2.1.2.4.2.16 del Decreto 1082 de 2015, modificado por el Decreto 1860 de 2021, teniendo en cuenta las características del contrato de seguro, el objeto contractual y el alcance de las obligaciones del contratista adjudicatario, no será necesario exigir, para la ejecución del contrato que se suscriba, la participación de población en pobreza extrema, desplazados por la violencia, personas en proceso de reintegración o reincorporación y sujetos de especial protección constitucional.</w:t>
      </w:r>
    </w:p>
    <w:p w14:paraId="1F1693D1" w14:textId="77777777" w:rsidR="005F2C03" w:rsidRPr="005F2C03" w:rsidRDefault="005F2C03" w:rsidP="005F2C03">
      <w:pPr>
        <w:pStyle w:val="Prrafodelista"/>
        <w:spacing w:after="160"/>
        <w:ind w:left="0"/>
        <w:jc w:val="both"/>
        <w:rPr>
          <w:rFonts w:cs="Arial"/>
          <w:b/>
          <w:bCs/>
        </w:rPr>
      </w:pPr>
    </w:p>
    <w:p w14:paraId="40317252" w14:textId="77777777" w:rsidR="005F2C03" w:rsidRPr="005F2C03" w:rsidRDefault="005F2C03" w:rsidP="005F2C03">
      <w:pPr>
        <w:spacing w:after="160"/>
        <w:jc w:val="both"/>
        <w:rPr>
          <w:rFonts w:cs="Arial"/>
          <w:b/>
          <w:bCs/>
        </w:rPr>
      </w:pPr>
      <w:r w:rsidRPr="005F2C03">
        <w:rPr>
          <w:rFonts w:cs="Arial"/>
          <w:b/>
          <w:bCs/>
        </w:rPr>
        <w:t>PARTICIPACIÓN DE LAS MUJERES EN EL SECTOR</w:t>
      </w:r>
    </w:p>
    <w:p w14:paraId="43FB92E0" w14:textId="77777777" w:rsidR="005F2C03" w:rsidRPr="005F2C03" w:rsidRDefault="005F2C03" w:rsidP="005F2C03">
      <w:pPr>
        <w:tabs>
          <w:tab w:val="left" w:pos="567"/>
        </w:tabs>
        <w:jc w:val="both"/>
        <w:rPr>
          <w:rFonts w:cs="Arial"/>
          <w:bCs/>
          <w:color w:val="000000"/>
        </w:rPr>
      </w:pPr>
      <w:r w:rsidRPr="005F2C03">
        <w:rPr>
          <w:rFonts w:cs="Arial"/>
          <w:bCs/>
          <w:color w:val="000000"/>
        </w:rPr>
        <w:t>De conformidad con el Departamento Administrativo Nacional de Estadística (DANE) los indicadores de mercado laboral según sexo en el total nacional arrojan que para el trimestre enero - marzo 2024, la tasa de desocupación para las mujeres fue 15,0% y para los hombres 9,6%.</w:t>
      </w:r>
    </w:p>
    <w:p w14:paraId="253E621C" w14:textId="77777777" w:rsidR="005F2C03" w:rsidRPr="005F2C03" w:rsidRDefault="005F2C03" w:rsidP="005F2C03">
      <w:pPr>
        <w:tabs>
          <w:tab w:val="left" w:pos="567"/>
        </w:tabs>
        <w:jc w:val="both"/>
        <w:rPr>
          <w:rFonts w:cs="Arial"/>
          <w:bCs/>
          <w:color w:val="000000"/>
        </w:rPr>
      </w:pPr>
      <w:r w:rsidRPr="005F2C03">
        <w:rPr>
          <w:rFonts w:cs="Arial"/>
          <w:bCs/>
          <w:color w:val="000000"/>
        </w:rPr>
        <w:t>.</w:t>
      </w:r>
    </w:p>
    <w:p w14:paraId="654691A1" w14:textId="049DE33A" w:rsidR="005F2C03" w:rsidRPr="005F2C03" w:rsidRDefault="005F2C03" w:rsidP="005F2C03">
      <w:pPr>
        <w:tabs>
          <w:tab w:val="left" w:pos="567"/>
        </w:tabs>
        <w:jc w:val="center"/>
        <w:rPr>
          <w:rFonts w:cs="Arial"/>
          <w:bCs/>
          <w:color w:val="000000"/>
        </w:rPr>
      </w:pPr>
      <w:r w:rsidRPr="005F2C03">
        <w:rPr>
          <w:rFonts w:cs="Arial"/>
          <w:noProof/>
          <w:color w:val="000000"/>
        </w:rPr>
        <w:lastRenderedPageBreak/>
        <w:drawing>
          <wp:inline distT="0" distB="0" distL="0" distR="0" wp14:anchorId="16B3D937" wp14:editId="7164C9F8">
            <wp:extent cx="5612130" cy="3438525"/>
            <wp:effectExtent l="0" t="0" r="7620" b="9525"/>
            <wp:docPr id="178240466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130" cy="3438525"/>
                    </a:xfrm>
                    <a:prstGeom prst="rect">
                      <a:avLst/>
                    </a:prstGeom>
                    <a:noFill/>
                    <a:ln>
                      <a:noFill/>
                    </a:ln>
                  </pic:spPr>
                </pic:pic>
              </a:graphicData>
            </a:graphic>
          </wp:inline>
        </w:drawing>
      </w:r>
    </w:p>
    <w:p w14:paraId="5F4DB5F0" w14:textId="77777777" w:rsidR="005F2C03" w:rsidRPr="005F2C03" w:rsidRDefault="005F2C03" w:rsidP="005F2C03">
      <w:pPr>
        <w:tabs>
          <w:tab w:val="left" w:pos="567"/>
        </w:tabs>
        <w:jc w:val="center"/>
        <w:rPr>
          <w:rFonts w:cs="Arial"/>
          <w:sz w:val="18"/>
          <w:szCs w:val="18"/>
        </w:rPr>
      </w:pPr>
      <w:r w:rsidRPr="005F2C03">
        <w:rPr>
          <w:rFonts w:cs="Arial"/>
          <w:sz w:val="18"/>
          <w:szCs w:val="18"/>
        </w:rPr>
        <w:t>Fuente: DANE – Boletín Técnico - Mercado laboral según sexo – Boletín técnico 10 de mayo de 2024</w:t>
      </w:r>
    </w:p>
    <w:p w14:paraId="434999F8" w14:textId="77777777" w:rsidR="005F2C03" w:rsidRPr="005F2C03" w:rsidRDefault="005F2C03" w:rsidP="005F2C03">
      <w:pPr>
        <w:tabs>
          <w:tab w:val="left" w:pos="567"/>
        </w:tabs>
        <w:jc w:val="center"/>
        <w:rPr>
          <w:rFonts w:cs="Arial"/>
        </w:rPr>
      </w:pPr>
    </w:p>
    <w:p w14:paraId="79A49A81" w14:textId="77777777" w:rsidR="005F2C03" w:rsidRPr="005F2C03" w:rsidRDefault="005F2C03" w:rsidP="005F2C03">
      <w:pPr>
        <w:tabs>
          <w:tab w:val="left" w:pos="567"/>
        </w:tabs>
        <w:jc w:val="both"/>
        <w:rPr>
          <w:rFonts w:cs="Arial"/>
          <w:bCs/>
          <w:color w:val="000000"/>
        </w:rPr>
      </w:pPr>
      <w:r w:rsidRPr="005F2C03">
        <w:rPr>
          <w:rFonts w:cs="Arial"/>
          <w:bCs/>
          <w:color w:val="000000"/>
        </w:rPr>
        <w:t>En el trimestre enero - marzo 2024, las ramas de actividad con mayor número de mujeres ocupadas fueron Comercio y reparación de vehículos (1.744 miles), Administración pública y defensa, educación y atención de la salud humana (1.594 miles) y Actividades artísticas, entretenimiento, recreación y otras actividades de servicios (1.322 miles).</w:t>
      </w:r>
    </w:p>
    <w:p w14:paraId="3AC837C8" w14:textId="77777777" w:rsidR="005F2C03" w:rsidRPr="005F2C03" w:rsidRDefault="005F2C03" w:rsidP="005F2C03">
      <w:pPr>
        <w:tabs>
          <w:tab w:val="left" w:pos="567"/>
        </w:tabs>
        <w:jc w:val="both"/>
        <w:rPr>
          <w:rFonts w:cs="Arial"/>
          <w:bCs/>
          <w:color w:val="000000"/>
        </w:rPr>
      </w:pPr>
    </w:p>
    <w:p w14:paraId="2E10C34E" w14:textId="7B765D43" w:rsidR="005F2C03" w:rsidRPr="005F2C03" w:rsidRDefault="005F2C03" w:rsidP="005F2C03">
      <w:pPr>
        <w:jc w:val="both"/>
        <w:rPr>
          <w:rFonts w:cs="Arial"/>
          <w:sz w:val="18"/>
          <w:szCs w:val="18"/>
        </w:rPr>
      </w:pPr>
      <w:r w:rsidRPr="005F2C03">
        <w:rPr>
          <w:rFonts w:cs="Arial"/>
          <w:noProof/>
          <w:sz w:val="18"/>
          <w:szCs w:val="18"/>
        </w:rPr>
        <w:lastRenderedPageBreak/>
        <w:drawing>
          <wp:inline distT="0" distB="0" distL="0" distR="0" wp14:anchorId="0CA0DF30" wp14:editId="6525F008">
            <wp:extent cx="5612130" cy="3085465"/>
            <wp:effectExtent l="0" t="0" r="7620" b="635"/>
            <wp:docPr id="25368887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130" cy="3085465"/>
                    </a:xfrm>
                    <a:prstGeom prst="rect">
                      <a:avLst/>
                    </a:prstGeom>
                    <a:noFill/>
                    <a:ln>
                      <a:noFill/>
                    </a:ln>
                  </pic:spPr>
                </pic:pic>
              </a:graphicData>
            </a:graphic>
          </wp:inline>
        </w:drawing>
      </w:r>
    </w:p>
    <w:p w14:paraId="54216465" w14:textId="77777777" w:rsidR="005F2C03" w:rsidRPr="005F2C03" w:rsidRDefault="005F2C03" w:rsidP="005F2C03">
      <w:pPr>
        <w:jc w:val="center"/>
        <w:rPr>
          <w:rFonts w:cs="Arial"/>
          <w:sz w:val="18"/>
          <w:szCs w:val="18"/>
        </w:rPr>
      </w:pPr>
      <w:r w:rsidRPr="005F2C03">
        <w:rPr>
          <w:rFonts w:cs="Arial"/>
          <w:sz w:val="18"/>
          <w:szCs w:val="18"/>
        </w:rPr>
        <w:t>Fuente: DANE – Boletín Técnico - Mercado laboral según sexo – Boletín técnico 10 de mayo de 2024</w:t>
      </w:r>
    </w:p>
    <w:p w14:paraId="20156776" w14:textId="77777777" w:rsidR="005F2C03" w:rsidRPr="005F2C03" w:rsidRDefault="005F2C03" w:rsidP="005F2C03">
      <w:pPr>
        <w:tabs>
          <w:tab w:val="left" w:pos="567"/>
        </w:tabs>
        <w:jc w:val="both"/>
        <w:rPr>
          <w:rFonts w:cs="Arial"/>
          <w:bCs/>
          <w:color w:val="000000"/>
        </w:rPr>
      </w:pPr>
    </w:p>
    <w:p w14:paraId="702EDB80" w14:textId="77777777" w:rsidR="005F2C03" w:rsidRPr="005F2C03" w:rsidRDefault="005F2C03" w:rsidP="005F2C03">
      <w:pPr>
        <w:tabs>
          <w:tab w:val="left" w:pos="567"/>
        </w:tabs>
        <w:jc w:val="both"/>
        <w:rPr>
          <w:rFonts w:cs="Arial"/>
          <w:bCs/>
          <w:color w:val="000000"/>
        </w:rPr>
      </w:pPr>
      <w:r w:rsidRPr="005F2C03">
        <w:rPr>
          <w:rFonts w:cs="Arial"/>
          <w:bCs/>
          <w:color w:val="000000"/>
        </w:rPr>
        <w:t>Según cifras de la Superintendencia Financiera de Colombia</w:t>
      </w:r>
      <w:r w:rsidRPr="005F2C03">
        <w:rPr>
          <w:rFonts w:cs="Arial"/>
          <w:bCs/>
          <w:color w:val="000000"/>
          <w:vertAlign w:val="superscript"/>
        </w:rPr>
        <w:footnoteReference w:id="15"/>
      </w:r>
      <w:r w:rsidRPr="005F2C03">
        <w:rPr>
          <w:rFonts w:cs="Arial"/>
          <w:bCs/>
          <w:color w:val="000000"/>
        </w:rPr>
        <w:t>, la composición femenina de la alta gerencia y organismos de control de las entidades supervigiladas, en compañías de seguros generales la composición femenina es del 34.62% para entidades privadas y del 37.50% para entidades públicas:</w:t>
      </w:r>
    </w:p>
    <w:p w14:paraId="50A7C233" w14:textId="631D2E01" w:rsidR="005F2C03" w:rsidRPr="005F2C03" w:rsidRDefault="005F2C03" w:rsidP="005F2C03">
      <w:pPr>
        <w:tabs>
          <w:tab w:val="left" w:pos="567"/>
        </w:tabs>
        <w:jc w:val="center"/>
        <w:rPr>
          <w:rFonts w:cs="Arial"/>
          <w:bCs/>
          <w:color w:val="000000"/>
        </w:rPr>
      </w:pPr>
      <w:r w:rsidRPr="005F2C03">
        <w:rPr>
          <w:rFonts w:cs="Arial"/>
          <w:noProof/>
          <w:color w:val="000000"/>
        </w:rPr>
        <w:lastRenderedPageBreak/>
        <w:drawing>
          <wp:inline distT="0" distB="0" distL="0" distR="0" wp14:anchorId="129EDD80" wp14:editId="78A4BE15">
            <wp:extent cx="5410200" cy="5153025"/>
            <wp:effectExtent l="0" t="0" r="0" b="9525"/>
            <wp:docPr id="5823066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0200" cy="5153025"/>
                    </a:xfrm>
                    <a:prstGeom prst="rect">
                      <a:avLst/>
                    </a:prstGeom>
                    <a:noFill/>
                    <a:ln>
                      <a:noFill/>
                    </a:ln>
                  </pic:spPr>
                </pic:pic>
              </a:graphicData>
            </a:graphic>
          </wp:inline>
        </w:drawing>
      </w:r>
    </w:p>
    <w:p w14:paraId="4ED1EC61" w14:textId="77777777" w:rsidR="005F2C03" w:rsidRPr="005F2C03" w:rsidRDefault="005F2C03" w:rsidP="005F2C03">
      <w:pPr>
        <w:tabs>
          <w:tab w:val="left" w:pos="567"/>
        </w:tabs>
        <w:jc w:val="center"/>
        <w:rPr>
          <w:rFonts w:cs="Arial"/>
          <w:bCs/>
          <w:color w:val="000000"/>
          <w:sz w:val="18"/>
          <w:szCs w:val="18"/>
        </w:rPr>
      </w:pPr>
      <w:r w:rsidRPr="005F2C03">
        <w:rPr>
          <w:rFonts w:cs="Arial"/>
          <w:bCs/>
          <w:color w:val="000000"/>
          <w:sz w:val="18"/>
          <w:szCs w:val="18"/>
        </w:rPr>
        <w:t>Fuente: Información reportada en la página web de la Superintendencia Financiera de Colombia</w:t>
      </w:r>
    </w:p>
    <w:p w14:paraId="66661483" w14:textId="77777777" w:rsidR="005F2C03" w:rsidRPr="005F2C03" w:rsidRDefault="005F2C03" w:rsidP="005F2C03">
      <w:pPr>
        <w:tabs>
          <w:tab w:val="left" w:pos="567"/>
        </w:tabs>
        <w:jc w:val="both"/>
        <w:rPr>
          <w:rFonts w:cs="Arial"/>
          <w:bCs/>
          <w:color w:val="000000"/>
        </w:rPr>
      </w:pPr>
    </w:p>
    <w:p w14:paraId="752DC62B" w14:textId="77777777" w:rsidR="005F2C03" w:rsidRPr="005F2C03" w:rsidRDefault="005F2C03" w:rsidP="005F2C03">
      <w:pPr>
        <w:tabs>
          <w:tab w:val="left" w:pos="567"/>
        </w:tabs>
        <w:jc w:val="both"/>
        <w:rPr>
          <w:rFonts w:cs="Arial"/>
          <w:bCs/>
          <w:color w:val="000000"/>
        </w:rPr>
      </w:pPr>
      <w:r w:rsidRPr="005F2C03">
        <w:rPr>
          <w:rFonts w:cs="Arial"/>
          <w:bCs/>
          <w:color w:val="000000"/>
        </w:rPr>
        <w:t>En compañías de seguros de vida la composición femenina es del 33.71% para entidades privadas y del 40.00% para entidades públicas:</w:t>
      </w:r>
    </w:p>
    <w:p w14:paraId="781864FE" w14:textId="77777777" w:rsidR="005F2C03" w:rsidRPr="005F2C03" w:rsidRDefault="005F2C03" w:rsidP="005F2C03">
      <w:pPr>
        <w:tabs>
          <w:tab w:val="left" w:pos="567"/>
        </w:tabs>
        <w:jc w:val="center"/>
        <w:rPr>
          <w:rFonts w:cs="Arial"/>
          <w:b/>
          <w:color w:val="000000"/>
        </w:rPr>
      </w:pPr>
    </w:p>
    <w:p w14:paraId="5AE74A66" w14:textId="77777777" w:rsidR="005F2C03" w:rsidRPr="005F2C03" w:rsidRDefault="005F2C03" w:rsidP="005F2C03">
      <w:pPr>
        <w:tabs>
          <w:tab w:val="left" w:pos="567"/>
        </w:tabs>
        <w:jc w:val="center"/>
        <w:rPr>
          <w:rFonts w:cs="Arial"/>
          <w:bCs/>
          <w:color w:val="000000"/>
        </w:rPr>
      </w:pPr>
    </w:p>
    <w:p w14:paraId="761E1B12" w14:textId="1FD3516C" w:rsidR="005F2C03" w:rsidRPr="005F2C03" w:rsidRDefault="005F2C03" w:rsidP="005F2C03">
      <w:pPr>
        <w:tabs>
          <w:tab w:val="left" w:pos="567"/>
        </w:tabs>
        <w:jc w:val="center"/>
        <w:rPr>
          <w:rFonts w:cs="Arial"/>
          <w:bCs/>
          <w:color w:val="000000"/>
        </w:rPr>
      </w:pPr>
      <w:r w:rsidRPr="005F2C03">
        <w:rPr>
          <w:rFonts w:cs="Arial"/>
          <w:noProof/>
          <w:color w:val="000000"/>
        </w:rPr>
        <w:lastRenderedPageBreak/>
        <w:drawing>
          <wp:inline distT="0" distB="0" distL="0" distR="0" wp14:anchorId="73A43FA7" wp14:editId="0193D808">
            <wp:extent cx="5600700" cy="5962650"/>
            <wp:effectExtent l="0" t="0" r="0" b="0"/>
            <wp:docPr id="8600105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0700" cy="5962650"/>
                    </a:xfrm>
                    <a:prstGeom prst="rect">
                      <a:avLst/>
                    </a:prstGeom>
                    <a:noFill/>
                    <a:ln>
                      <a:noFill/>
                    </a:ln>
                  </pic:spPr>
                </pic:pic>
              </a:graphicData>
            </a:graphic>
          </wp:inline>
        </w:drawing>
      </w:r>
    </w:p>
    <w:p w14:paraId="7C017094" w14:textId="77777777" w:rsidR="005F2C03" w:rsidRPr="005F2C03" w:rsidRDefault="005F2C03" w:rsidP="005F2C03">
      <w:pPr>
        <w:tabs>
          <w:tab w:val="left" w:pos="567"/>
        </w:tabs>
        <w:jc w:val="center"/>
        <w:rPr>
          <w:rFonts w:cs="Arial"/>
          <w:bCs/>
          <w:color w:val="000000"/>
          <w:sz w:val="18"/>
          <w:szCs w:val="18"/>
        </w:rPr>
      </w:pPr>
      <w:r w:rsidRPr="005F2C03">
        <w:rPr>
          <w:rFonts w:cs="Arial"/>
          <w:bCs/>
          <w:color w:val="000000"/>
          <w:sz w:val="18"/>
          <w:szCs w:val="18"/>
        </w:rPr>
        <w:t>Fuente: Información reportada en la página web de la Superintendencia Financiera de Colombia</w:t>
      </w:r>
    </w:p>
    <w:p w14:paraId="5E48E576" w14:textId="77777777" w:rsidR="005F2C03" w:rsidRPr="005F2C03" w:rsidRDefault="005F2C03" w:rsidP="005F2C03">
      <w:pPr>
        <w:tabs>
          <w:tab w:val="left" w:pos="567"/>
        </w:tabs>
        <w:jc w:val="center"/>
        <w:rPr>
          <w:rFonts w:cs="Arial"/>
          <w:bCs/>
          <w:color w:val="000000"/>
        </w:rPr>
      </w:pPr>
    </w:p>
    <w:p w14:paraId="2D97B7E9" w14:textId="77777777" w:rsidR="005F2C03" w:rsidRPr="005F2C03" w:rsidRDefault="005F2C03" w:rsidP="005F2C03">
      <w:pPr>
        <w:spacing w:after="160"/>
        <w:ind w:right="51"/>
        <w:jc w:val="both"/>
        <w:rPr>
          <w:rFonts w:cs="Arial"/>
          <w:b/>
          <w:bCs/>
          <w:lang w:eastAsia="es-ES_tradnl"/>
        </w:rPr>
      </w:pPr>
      <w:bookmarkStart w:id="28" w:name="_Hlk169731496"/>
      <w:r w:rsidRPr="005F2C03">
        <w:rPr>
          <w:rFonts w:cs="Arial"/>
          <w:b/>
          <w:bCs/>
        </w:rPr>
        <w:t xml:space="preserve">CRITERIOS DIFERENCIALES PARA EMPRESAS DE MUJERES </w:t>
      </w:r>
    </w:p>
    <w:p w14:paraId="30772988" w14:textId="3BE8D2A1" w:rsidR="005F2C03" w:rsidRPr="005F2C03" w:rsidRDefault="005F2C03" w:rsidP="005F2C03">
      <w:pPr>
        <w:ind w:right="51"/>
        <w:jc w:val="both"/>
        <w:rPr>
          <w:rFonts w:cs="Arial"/>
          <w:bCs/>
          <w:lang w:eastAsia="es-ES"/>
        </w:rPr>
      </w:pPr>
      <w:bookmarkStart w:id="29" w:name="_Hlk108093365"/>
      <w:bookmarkStart w:id="30" w:name="_Hlk108093451"/>
      <w:r w:rsidRPr="005F2C03">
        <w:rPr>
          <w:rFonts w:cs="Arial"/>
          <w:iCs/>
          <w:lang w:val="es-ES_tradnl"/>
        </w:rPr>
        <w:t xml:space="preserve">La </w:t>
      </w:r>
      <w:r>
        <w:rPr>
          <w:rFonts w:cs="Arial"/>
          <w:iCs/>
          <w:lang w:val="es-ES_tradnl"/>
        </w:rPr>
        <w:t>ELC</w:t>
      </w:r>
      <w:r w:rsidRPr="005F2C03">
        <w:rPr>
          <w:rFonts w:eastAsia="Arial Narrow" w:cs="Arial"/>
        </w:rPr>
        <w:t>,</w:t>
      </w:r>
      <w:r w:rsidRPr="005F2C03">
        <w:rPr>
          <w:rFonts w:cs="Arial"/>
          <w:bCs/>
        </w:rPr>
        <w:t xml:space="preserve"> </w:t>
      </w:r>
      <w:bookmarkEnd w:id="29"/>
      <w:r w:rsidRPr="005F2C03">
        <w:rPr>
          <w:rFonts w:cs="Arial"/>
          <w:bCs/>
        </w:rPr>
        <w:t xml:space="preserve">aplicará </w:t>
      </w:r>
      <w:bookmarkEnd w:id="30"/>
      <w:r w:rsidRPr="005F2C03">
        <w:rPr>
          <w:rFonts w:cs="Arial"/>
          <w:bCs/>
        </w:rPr>
        <w:t>como criterio diferencial el indicado en el numeral 2. “</w:t>
      </w:r>
      <w:r w:rsidRPr="005F2C03">
        <w:rPr>
          <w:rFonts w:cs="Arial"/>
          <w:bCs/>
          <w:u w:val="single"/>
        </w:rPr>
        <w:t>Número de contratos para la acreditación de la experiencia”</w:t>
      </w:r>
      <w:r w:rsidRPr="005F2C03">
        <w:rPr>
          <w:rFonts w:cs="Arial"/>
          <w:bCs/>
        </w:rPr>
        <w:t xml:space="preserve">, de conformidad con lo contemplado en el artículo 2.2.1.2.4.2.15 del Decreto 1082 de 2015 </w:t>
      </w:r>
      <w:r w:rsidRPr="005F2C03">
        <w:rPr>
          <w:rFonts w:cs="Arial"/>
          <w:bCs/>
        </w:rPr>
        <w:lastRenderedPageBreak/>
        <w:t xml:space="preserve">adicionado por el artículo 3 del Decreto 1860 de 2021 y conforme con las definiciones que trae el artículo 2.2.1.2.4.2.14 ídem, </w:t>
      </w:r>
      <w:bookmarkStart w:id="31" w:name="_Hlk159578981"/>
      <w:r w:rsidRPr="005F2C03">
        <w:rPr>
          <w:rFonts w:cs="Arial"/>
          <w:bCs/>
        </w:rPr>
        <w:t>para lo cual el proponente deberá aportar la certificación requerida en los criterios habilitantes suscrita por el representante legal de la persona jurídica y el revisor fiscal.</w:t>
      </w:r>
      <w:bookmarkEnd w:id="31"/>
    </w:p>
    <w:p w14:paraId="66810F9C" w14:textId="77777777" w:rsidR="005F2C03" w:rsidRPr="005F2C03" w:rsidRDefault="005F2C03" w:rsidP="005F2C03">
      <w:pPr>
        <w:ind w:right="51"/>
        <w:jc w:val="both"/>
        <w:rPr>
          <w:rFonts w:cs="Arial"/>
          <w:bCs/>
          <w:lang w:eastAsia="es-ES_tradnl"/>
        </w:rPr>
      </w:pPr>
    </w:p>
    <w:p w14:paraId="0040BF46" w14:textId="6F0C675D" w:rsidR="005F2C03" w:rsidRPr="005F2C03" w:rsidRDefault="005F2C03" w:rsidP="005F2C03">
      <w:pPr>
        <w:shd w:val="clear" w:color="auto" w:fill="FFFFFF"/>
        <w:ind w:right="51"/>
        <w:contextualSpacing/>
        <w:jc w:val="both"/>
        <w:rPr>
          <w:rFonts w:cs="Arial"/>
          <w:color w:val="000000"/>
          <w:lang w:eastAsia="es-ES"/>
        </w:rPr>
      </w:pPr>
      <w:r w:rsidRPr="005F2C03">
        <w:rPr>
          <w:rFonts w:cs="Arial"/>
          <w:color w:val="000000"/>
        </w:rPr>
        <w:t xml:space="preserve">Así las cosas, el proponente que acredite ser una empresa de mujeres o un emprendimiento de mujeres de conformidad con las definiciones del artículo 2.2.1.2.4.2.14 del Decreto 1082 de 2015 adicionado por el artículo 3 del Decreto 1860 de 2021, podrá acreditar la experiencia con </w:t>
      </w:r>
      <w:r w:rsidRPr="005F2C03">
        <w:rPr>
          <w:rFonts w:cs="Arial"/>
          <w:b/>
          <w:bCs/>
          <w:color w:val="000000"/>
        </w:rPr>
        <w:t xml:space="preserve">máximo </w:t>
      </w:r>
      <w:r w:rsidR="009053EE">
        <w:rPr>
          <w:rFonts w:cs="Arial"/>
          <w:b/>
          <w:bCs/>
          <w:color w:val="000000"/>
        </w:rPr>
        <w:t>doce</w:t>
      </w:r>
      <w:r w:rsidRPr="005F2C03">
        <w:rPr>
          <w:rFonts w:cs="Arial"/>
          <w:b/>
          <w:bCs/>
          <w:color w:val="000000"/>
        </w:rPr>
        <w:t xml:space="preserve"> (</w:t>
      </w:r>
      <w:r w:rsidR="009053EE">
        <w:rPr>
          <w:rFonts w:cs="Arial"/>
          <w:b/>
          <w:bCs/>
          <w:color w:val="000000"/>
        </w:rPr>
        <w:t>12</w:t>
      </w:r>
      <w:r w:rsidRPr="005F2C03">
        <w:rPr>
          <w:rFonts w:cs="Arial"/>
          <w:b/>
          <w:bCs/>
          <w:color w:val="000000"/>
        </w:rPr>
        <w:t xml:space="preserve">) contratos </w:t>
      </w:r>
      <w:r w:rsidRPr="005F2C03">
        <w:rPr>
          <w:rFonts w:cs="Arial"/>
          <w:color w:val="000000"/>
        </w:rPr>
        <w:t>clasificados en los códigos UNSPSC 841315 y/o 841316 y cuya sumatoria en el valor de los mismos sea igual o superior al 100% del valor del presupuesto oficial establecido su valor expresado en SMMLV.</w:t>
      </w:r>
    </w:p>
    <w:p w14:paraId="4EF68D9C" w14:textId="77777777" w:rsidR="005F2C03" w:rsidRPr="005F2C03" w:rsidRDefault="005F2C03" w:rsidP="005F2C03">
      <w:pPr>
        <w:shd w:val="clear" w:color="auto" w:fill="FFFFFF"/>
        <w:ind w:left="284" w:right="51"/>
        <w:contextualSpacing/>
        <w:jc w:val="both"/>
        <w:rPr>
          <w:rFonts w:cs="Arial"/>
          <w:color w:val="000000"/>
        </w:rPr>
      </w:pPr>
    </w:p>
    <w:p w14:paraId="63A387D1" w14:textId="77777777" w:rsidR="005F2C03" w:rsidRPr="005F2C03" w:rsidRDefault="005F2C03" w:rsidP="005F2C03">
      <w:pPr>
        <w:shd w:val="clear" w:color="auto" w:fill="FFFFFF"/>
        <w:ind w:right="51"/>
        <w:contextualSpacing/>
        <w:jc w:val="both"/>
        <w:rPr>
          <w:rFonts w:cs="Arial"/>
          <w:color w:val="000000"/>
        </w:rPr>
      </w:pPr>
      <w:r w:rsidRPr="005F2C03">
        <w:rPr>
          <w:rFonts w:cs="Arial"/>
          <w:color w:val="000000"/>
        </w:rPr>
        <w:t xml:space="preserve">En el evento de que se trate de proponente plural por lo menos uno de sus integrantes deberá ostentar dicha calidad y tener una participación igual o superior al 10% en el consorcio o unión temporal. </w:t>
      </w:r>
    </w:p>
    <w:bookmarkEnd w:id="28"/>
    <w:p w14:paraId="139E459B" w14:textId="77777777" w:rsidR="005F2C03" w:rsidRPr="005F2C03" w:rsidRDefault="005F2C03" w:rsidP="005F2C03">
      <w:pPr>
        <w:shd w:val="clear" w:color="auto" w:fill="FFFFFF"/>
        <w:ind w:right="51"/>
        <w:contextualSpacing/>
        <w:jc w:val="both"/>
        <w:rPr>
          <w:rFonts w:cs="Arial"/>
          <w:color w:val="000000"/>
        </w:rPr>
      </w:pPr>
    </w:p>
    <w:p w14:paraId="39E0F545" w14:textId="77777777" w:rsidR="005F2C03" w:rsidRPr="005F2C03" w:rsidRDefault="005F2C03" w:rsidP="005F2C03">
      <w:pPr>
        <w:widowControl w:val="0"/>
        <w:adjustRightInd w:val="0"/>
        <w:jc w:val="both"/>
        <w:rPr>
          <w:rFonts w:cs="Arial"/>
          <w:b/>
          <w:bCs/>
        </w:rPr>
      </w:pPr>
      <w:r w:rsidRPr="005F2C03">
        <w:rPr>
          <w:rFonts w:cs="Arial"/>
          <w:b/>
          <w:bCs/>
        </w:rPr>
        <w:t xml:space="preserve">ESTÍMULO PARA LA PARTICIPACIÓN DE MUJERES EN LA CONTRATACIÓN ESTATAL </w:t>
      </w:r>
    </w:p>
    <w:p w14:paraId="062E271F" w14:textId="77777777" w:rsidR="005F2C03" w:rsidRPr="005F2C03" w:rsidRDefault="005F2C03" w:rsidP="005F2C03">
      <w:pPr>
        <w:spacing w:before="240"/>
        <w:jc w:val="both"/>
        <w:rPr>
          <w:rFonts w:cs="Arial"/>
        </w:rPr>
      </w:pPr>
      <w:bookmarkStart w:id="32" w:name="_Hlk101777296"/>
      <w:bookmarkStart w:id="33" w:name="_Hlk101435172"/>
      <w:r w:rsidRPr="005F2C03">
        <w:rPr>
          <w:rFonts w:eastAsia="Arial" w:cs="Arial"/>
        </w:rPr>
        <w:t xml:space="preserve">Conforme lo dispuesto por el artículo 32 de la </w:t>
      </w:r>
      <w:bookmarkStart w:id="34" w:name="_Hlk101176807"/>
      <w:r w:rsidRPr="005F2C03">
        <w:rPr>
          <w:rFonts w:eastAsia="Arial" w:cs="Arial"/>
        </w:rPr>
        <w:t xml:space="preserve">Ley 2069 de 2020, reglamentado </w:t>
      </w:r>
      <w:r w:rsidRPr="005F2C03">
        <w:rPr>
          <w:rFonts w:cs="Arial"/>
        </w:rPr>
        <w:t>artículo 2.2.1.2.4.2.15 d</w:t>
      </w:r>
      <w:r w:rsidRPr="005F2C03">
        <w:rPr>
          <w:rFonts w:cs="Arial"/>
          <w:lang w:val="es-ES_tradnl"/>
        </w:rPr>
        <w:t>el decreto 1860 de 2021</w:t>
      </w:r>
      <w:r w:rsidRPr="005F2C03">
        <w:rPr>
          <w:rFonts w:eastAsia="Arial" w:cs="Arial"/>
        </w:rPr>
        <w:t xml:space="preserve">, </w:t>
      </w:r>
      <w:r w:rsidRPr="005F2C03">
        <w:rPr>
          <w:rFonts w:cs="Arial"/>
        </w:rPr>
        <w:t>la Entidad deberá incluir requisitos diferenciales y puntajes adicionales en el proceso de selección para emprendimientos y empresas de mujeres, los cuales son aplicables a los procesos de selección de licitación pública, selección abreviada de menor cuantía y concurso de méritos.</w:t>
      </w:r>
    </w:p>
    <w:bookmarkEnd w:id="32"/>
    <w:p w14:paraId="339F7594" w14:textId="77777777" w:rsidR="005F2C03" w:rsidRPr="005F2C03" w:rsidRDefault="005F2C03" w:rsidP="005F2C03">
      <w:pPr>
        <w:jc w:val="both"/>
        <w:rPr>
          <w:rFonts w:cs="Arial"/>
        </w:rPr>
      </w:pPr>
    </w:p>
    <w:p w14:paraId="076E73C7" w14:textId="77777777" w:rsidR="005F2C03" w:rsidRPr="005F2C03" w:rsidRDefault="005F2C03" w:rsidP="005F2C03">
      <w:pPr>
        <w:jc w:val="both"/>
        <w:rPr>
          <w:rFonts w:cs="Arial"/>
        </w:rPr>
      </w:pPr>
      <w:r w:rsidRPr="005F2C03">
        <w:rPr>
          <w:rFonts w:cs="Arial"/>
        </w:rPr>
        <w:t xml:space="preserve">Por su parte, de conformidad con el artículo 30 de la Ley 45 de 1990, Circular Externa 052 de 2002 de la Superintendencia Financiera de Colombia (organismo que las controla y vigila), numeral 1 reglas generales sobre la Operación de Seguros – Numeral 1.1. Reglas para la autorización de ramos de seguros y Código de Comercio artículo 1037, </w:t>
      </w:r>
      <w:r w:rsidRPr="005F2C03">
        <w:rPr>
          <w:rFonts w:cs="Arial"/>
          <w:b/>
          <w:bCs/>
        </w:rPr>
        <w:t>las únicas personas autorizadas para comercializas seguros en Colombia son las personas jurídicas</w:t>
      </w:r>
      <w:r w:rsidRPr="005F2C03">
        <w:rPr>
          <w:rFonts w:cs="Arial"/>
        </w:rPr>
        <w:t>, razón por la cual, lo reglamentado por el 2.2.1.2.4.2.15 Decreto 1860 de 2021 será parcialmente aplicable al proceso de selección, puesto que la actividad de seguros es reglada y exige por parte de la compañía de seguros una constitución específica para su operación.</w:t>
      </w:r>
    </w:p>
    <w:p w14:paraId="335C57EF" w14:textId="77777777" w:rsidR="005F2C03" w:rsidRPr="005F2C03" w:rsidRDefault="005F2C03" w:rsidP="005F2C03">
      <w:pPr>
        <w:jc w:val="both"/>
        <w:rPr>
          <w:rFonts w:cs="Arial"/>
        </w:rPr>
      </w:pPr>
    </w:p>
    <w:p w14:paraId="78A63FF7" w14:textId="77777777" w:rsidR="005F2C03" w:rsidRPr="005F2C03" w:rsidRDefault="005F2C03" w:rsidP="005F2C03">
      <w:pPr>
        <w:jc w:val="both"/>
        <w:rPr>
          <w:rFonts w:eastAsia="Arial" w:cs="Arial"/>
        </w:rPr>
      </w:pPr>
      <w:r w:rsidRPr="005F2C03">
        <w:rPr>
          <w:rFonts w:eastAsia="Arial" w:cs="Arial"/>
        </w:rPr>
        <w:t xml:space="preserve">No obstante, con el propósito de promover la participación de las mujeres en la contratación estatal, se otorgará un puntaje </w:t>
      </w:r>
      <w:r w:rsidRPr="005F2C03">
        <w:rPr>
          <w:rFonts w:eastAsia="Arial" w:cs="Arial"/>
          <w:b/>
          <w:bCs/>
        </w:rPr>
        <w:t>máximo de 0.25 puntos</w:t>
      </w:r>
      <w:r w:rsidRPr="005F2C03">
        <w:rPr>
          <w:rFonts w:eastAsia="Arial" w:cs="Arial"/>
        </w:rPr>
        <w:t xml:space="preserve">, para los proponentes que cumplan con las definiciones del artículo 2.2.1.2.4.2.14 </w:t>
      </w:r>
      <w:r w:rsidRPr="005F2C03">
        <w:rPr>
          <w:rFonts w:eastAsia="Arial" w:cs="Arial"/>
          <w:i/>
          <w:iCs/>
        </w:rPr>
        <w:t>“Definición de emprendimientos y empresas de mujeres”</w:t>
      </w:r>
      <w:r w:rsidRPr="005F2C03">
        <w:rPr>
          <w:rFonts w:eastAsia="Arial" w:cs="Arial"/>
        </w:rPr>
        <w:t>, del Decreto 1082 de 2015, modificado por la Ley 2069 de 2020 y reglamentado por el Decreto 1860 de 2021, así:</w:t>
      </w:r>
      <w:bookmarkEnd w:id="34"/>
    </w:p>
    <w:p w14:paraId="1CF0E643" w14:textId="77777777" w:rsidR="005F2C03" w:rsidRPr="005F2C03" w:rsidRDefault="005F2C03" w:rsidP="005F2C03">
      <w:pPr>
        <w:jc w:val="both"/>
        <w:rPr>
          <w:rFonts w:eastAsia="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607"/>
      </w:tblGrid>
      <w:tr w:rsidR="005F2C03" w:rsidRPr="005F2C03" w14:paraId="65277839" w14:textId="77777777" w:rsidTr="005F2C03">
        <w:trPr>
          <w:jc w:val="center"/>
        </w:trPr>
        <w:tc>
          <w:tcPr>
            <w:tcW w:w="3702" w:type="dxa"/>
            <w:tcBorders>
              <w:top w:val="single" w:sz="4" w:space="0" w:color="auto"/>
              <w:left w:val="single" w:sz="4" w:space="0" w:color="auto"/>
              <w:bottom w:val="single" w:sz="4" w:space="0" w:color="auto"/>
              <w:right w:val="single" w:sz="4" w:space="0" w:color="auto"/>
            </w:tcBorders>
            <w:shd w:val="clear" w:color="auto" w:fill="B4C6E7"/>
            <w:hideMark/>
          </w:tcPr>
          <w:p w14:paraId="60BE51CF" w14:textId="77777777" w:rsidR="005F2C03" w:rsidRPr="005F2C03" w:rsidRDefault="005F2C03">
            <w:pPr>
              <w:tabs>
                <w:tab w:val="left" w:pos="700"/>
                <w:tab w:val="left" w:pos="1100"/>
                <w:tab w:val="left" w:pos="1400"/>
              </w:tabs>
              <w:jc w:val="center"/>
              <w:rPr>
                <w:rFonts w:eastAsia="Times New Roman" w:cs="Arial"/>
                <w:b/>
                <w:bCs/>
              </w:rPr>
            </w:pPr>
            <w:bookmarkStart w:id="35" w:name="_Hlk101176817"/>
            <w:bookmarkStart w:id="36" w:name="_Hlk101778587"/>
            <w:bookmarkEnd w:id="33"/>
            <w:r w:rsidRPr="005F2C03">
              <w:rPr>
                <w:rFonts w:cs="Arial"/>
                <w:b/>
                <w:bCs/>
              </w:rPr>
              <w:t>CONDICIÓN EXIGIDA</w:t>
            </w:r>
          </w:p>
        </w:tc>
        <w:tc>
          <w:tcPr>
            <w:tcW w:w="3607" w:type="dxa"/>
            <w:tcBorders>
              <w:top w:val="single" w:sz="4" w:space="0" w:color="auto"/>
              <w:left w:val="single" w:sz="4" w:space="0" w:color="auto"/>
              <w:bottom w:val="single" w:sz="4" w:space="0" w:color="auto"/>
              <w:right w:val="single" w:sz="4" w:space="0" w:color="auto"/>
            </w:tcBorders>
            <w:shd w:val="clear" w:color="auto" w:fill="B4C6E7"/>
            <w:hideMark/>
          </w:tcPr>
          <w:p w14:paraId="00555841" w14:textId="77777777" w:rsidR="005F2C03" w:rsidRPr="005F2C03" w:rsidRDefault="005F2C03">
            <w:pPr>
              <w:tabs>
                <w:tab w:val="left" w:pos="700"/>
                <w:tab w:val="left" w:pos="1100"/>
                <w:tab w:val="left" w:pos="1400"/>
              </w:tabs>
              <w:jc w:val="center"/>
              <w:rPr>
                <w:rFonts w:cs="Arial"/>
                <w:b/>
                <w:bCs/>
              </w:rPr>
            </w:pPr>
            <w:r w:rsidRPr="005F2C03">
              <w:rPr>
                <w:rFonts w:cs="Arial"/>
                <w:b/>
                <w:bCs/>
              </w:rPr>
              <w:t>ACREDITACIÓN</w:t>
            </w:r>
          </w:p>
        </w:tc>
      </w:tr>
      <w:tr w:rsidR="005F2C03" w:rsidRPr="005F2C03" w14:paraId="6860712D" w14:textId="77777777" w:rsidTr="005F2C03">
        <w:trPr>
          <w:jc w:val="center"/>
        </w:trPr>
        <w:tc>
          <w:tcPr>
            <w:tcW w:w="3702" w:type="dxa"/>
            <w:tcBorders>
              <w:top w:val="single" w:sz="4" w:space="0" w:color="auto"/>
              <w:left w:val="single" w:sz="4" w:space="0" w:color="auto"/>
              <w:bottom w:val="single" w:sz="4" w:space="0" w:color="auto"/>
              <w:right w:val="single" w:sz="4" w:space="0" w:color="auto"/>
            </w:tcBorders>
            <w:hideMark/>
          </w:tcPr>
          <w:p w14:paraId="363C0EE8" w14:textId="77777777" w:rsidR="005F2C03" w:rsidRPr="005F2C03" w:rsidRDefault="005F2C03">
            <w:pPr>
              <w:tabs>
                <w:tab w:val="left" w:pos="700"/>
                <w:tab w:val="left" w:pos="1100"/>
                <w:tab w:val="left" w:pos="1400"/>
              </w:tabs>
              <w:jc w:val="both"/>
              <w:rPr>
                <w:rFonts w:cs="Arial"/>
              </w:rPr>
            </w:pPr>
            <w:r w:rsidRPr="005F2C03">
              <w:rPr>
                <w:rFonts w:cs="Arial"/>
              </w:rPr>
              <w:t xml:space="preserve">Cuando más del cincuenta por ciento (50%) de las acciones, partes de interés o cuotas de participación de la persona jurídica pertenezcan a mujeres y los derechos de propiedad hayan pertenecido a estas durante al menos el último año anterior a la fecha de cierre del Proceso de Selección. </w:t>
            </w:r>
          </w:p>
        </w:tc>
        <w:tc>
          <w:tcPr>
            <w:tcW w:w="3607" w:type="dxa"/>
            <w:tcBorders>
              <w:top w:val="single" w:sz="4" w:space="0" w:color="auto"/>
              <w:left w:val="single" w:sz="4" w:space="0" w:color="auto"/>
              <w:bottom w:val="single" w:sz="4" w:space="0" w:color="auto"/>
              <w:right w:val="single" w:sz="4" w:space="0" w:color="auto"/>
            </w:tcBorders>
            <w:hideMark/>
          </w:tcPr>
          <w:p w14:paraId="3914A73C" w14:textId="77777777" w:rsidR="005F2C03" w:rsidRPr="005F2C03" w:rsidRDefault="005F2C03">
            <w:pPr>
              <w:tabs>
                <w:tab w:val="left" w:pos="700"/>
                <w:tab w:val="left" w:pos="1100"/>
                <w:tab w:val="left" w:pos="1400"/>
              </w:tabs>
              <w:jc w:val="both"/>
              <w:rPr>
                <w:rFonts w:cs="Arial"/>
              </w:rPr>
            </w:pPr>
            <w:r w:rsidRPr="005F2C03">
              <w:rPr>
                <w:rFonts w:cs="Arial"/>
              </w:rPr>
              <w:t>Esta circunstancia se acreditará mediante certificación expedida por el representante legal y el revisor fiscal, cuando exista de acuerdo con los requerimientos de ley, o el contador, donde conste la distribución de los derechos en la sociedad y el tiempo en el que las mujeres han mantenido su participación.</w:t>
            </w:r>
          </w:p>
        </w:tc>
      </w:tr>
      <w:tr w:rsidR="005F2C03" w:rsidRPr="005F2C03" w14:paraId="4D66CEB1" w14:textId="77777777" w:rsidTr="005F2C03">
        <w:trPr>
          <w:trHeight w:val="1256"/>
          <w:jc w:val="center"/>
        </w:trPr>
        <w:tc>
          <w:tcPr>
            <w:tcW w:w="3702" w:type="dxa"/>
            <w:tcBorders>
              <w:top w:val="single" w:sz="4" w:space="0" w:color="auto"/>
              <w:left w:val="single" w:sz="4" w:space="0" w:color="auto"/>
              <w:bottom w:val="single" w:sz="4" w:space="0" w:color="auto"/>
              <w:right w:val="single" w:sz="4" w:space="0" w:color="auto"/>
            </w:tcBorders>
          </w:tcPr>
          <w:p w14:paraId="56E2B705" w14:textId="77777777" w:rsidR="005F2C03" w:rsidRPr="005F2C03" w:rsidRDefault="005F2C03">
            <w:pPr>
              <w:jc w:val="both"/>
              <w:rPr>
                <w:rFonts w:cs="Arial"/>
              </w:rPr>
            </w:pPr>
            <w:r w:rsidRPr="005F2C03">
              <w:rPr>
                <w:rFonts w:cs="Arial"/>
              </w:rPr>
              <w:lastRenderedPageBreak/>
              <w:t>Cuando por lo menos el cincuenta por ciento (50%) de los empleos del nivel directivo de la persona jurídica sean ejercidos por mujeres y éstas hayan estado vinculadas laboralmente a la empresa durante al menos el último año anterior a la fecha de cierre del Proceso de Selección en el mismo cargo u otro del mismo nivel.</w:t>
            </w:r>
          </w:p>
          <w:p w14:paraId="52941554" w14:textId="77777777" w:rsidR="005F2C03" w:rsidRPr="005F2C03" w:rsidRDefault="005F2C03">
            <w:pPr>
              <w:jc w:val="both"/>
              <w:rPr>
                <w:rFonts w:cs="Arial"/>
              </w:rPr>
            </w:pPr>
          </w:p>
          <w:p w14:paraId="1603218B" w14:textId="77777777" w:rsidR="005F2C03" w:rsidRPr="005F2C03" w:rsidRDefault="005F2C03">
            <w:pPr>
              <w:jc w:val="both"/>
              <w:rPr>
                <w:rFonts w:cs="Arial"/>
              </w:rPr>
            </w:pPr>
            <w:r w:rsidRPr="005F2C03">
              <w:rPr>
                <w:rFonts w:cs="Arial"/>
              </w:rPr>
              <w:t>Se entenderá como empleos del nivel directivo aquellos cuyas funciones están relacionadas con la dirección de áreas misionales de la empresa y la toma de decisiones a nivel estratégico. En este sentido, serán cargos de nivel directivo los que dentro de la organización de la empresa se encuentran ubicados en un nivel de mando o los que por su jerarquía desempeñan cargos encaminados al cumplimiento de funciones orientadas a representar al empleador.</w:t>
            </w:r>
          </w:p>
        </w:tc>
        <w:tc>
          <w:tcPr>
            <w:tcW w:w="3607" w:type="dxa"/>
            <w:tcBorders>
              <w:top w:val="single" w:sz="4" w:space="0" w:color="auto"/>
              <w:left w:val="single" w:sz="4" w:space="0" w:color="auto"/>
              <w:bottom w:val="single" w:sz="4" w:space="0" w:color="auto"/>
              <w:right w:val="single" w:sz="4" w:space="0" w:color="auto"/>
            </w:tcBorders>
            <w:hideMark/>
          </w:tcPr>
          <w:p w14:paraId="112A85CD" w14:textId="77777777" w:rsidR="005F2C03" w:rsidRPr="005F2C03" w:rsidRDefault="005F2C03">
            <w:pPr>
              <w:jc w:val="both"/>
              <w:rPr>
                <w:rFonts w:cs="Arial"/>
              </w:rPr>
            </w:pPr>
            <w:r w:rsidRPr="005F2C03">
              <w:rPr>
                <w:rFonts w:cs="Arial"/>
              </w:rPr>
              <w:t>Esta circunstancia se acreditará mediante certificación expedida por el representante legal y el revisor fiscal, cuando exista de acuerdo con los requerimientos de ley, o el contador, donde se señale de manera detallada todas las personas que conforman los cargos de nivel directivo del proponente, el número de mujeres y el tiempo de vinculación.</w:t>
            </w:r>
          </w:p>
          <w:p w14:paraId="275BB4B5" w14:textId="77777777" w:rsidR="005F2C03" w:rsidRPr="005F2C03" w:rsidRDefault="005F2C03">
            <w:pPr>
              <w:jc w:val="both"/>
              <w:rPr>
                <w:rFonts w:cs="Arial"/>
              </w:rPr>
            </w:pPr>
            <w:r w:rsidRPr="005F2C03">
              <w:rPr>
                <w:rFonts w:cs="Arial"/>
              </w:rPr>
              <w:t> </w:t>
            </w:r>
          </w:p>
          <w:p w14:paraId="0430562E" w14:textId="77777777" w:rsidR="005F2C03" w:rsidRPr="005F2C03" w:rsidRDefault="005F2C03">
            <w:pPr>
              <w:jc w:val="both"/>
              <w:rPr>
                <w:rFonts w:cs="Arial"/>
              </w:rPr>
            </w:pPr>
            <w:r w:rsidRPr="005F2C03">
              <w:rPr>
                <w:rFonts w:cs="Arial"/>
              </w:rPr>
              <w:t>La certificación deberá relacionar el nombre completo y el número de documento de identidad de cada una de las personas que conforman el nivel directivo del proponente. Como soporte, se anexará copia de los respectivos documentos de identidad, copia de los contratos de trabajo o certificación laboral con las funciones, así como el certificado de aportes a seguridad social del último año en el que se demuestren los pagos realizados por el empleador.</w:t>
            </w:r>
          </w:p>
        </w:tc>
      </w:tr>
      <w:tr w:rsidR="005F2C03" w:rsidRPr="005F2C03" w14:paraId="78A53ADA" w14:textId="77777777" w:rsidTr="005F2C03">
        <w:trPr>
          <w:jc w:val="center"/>
        </w:trPr>
        <w:tc>
          <w:tcPr>
            <w:tcW w:w="3702" w:type="dxa"/>
            <w:tcBorders>
              <w:top w:val="single" w:sz="4" w:space="0" w:color="auto"/>
              <w:left w:val="single" w:sz="4" w:space="0" w:color="auto"/>
              <w:bottom w:val="single" w:sz="4" w:space="0" w:color="auto"/>
              <w:right w:val="single" w:sz="4" w:space="0" w:color="auto"/>
            </w:tcBorders>
            <w:hideMark/>
          </w:tcPr>
          <w:p w14:paraId="7C144E0A" w14:textId="77777777" w:rsidR="005F2C03" w:rsidRPr="005F2C03" w:rsidRDefault="005F2C03">
            <w:pPr>
              <w:tabs>
                <w:tab w:val="left" w:pos="700"/>
                <w:tab w:val="left" w:pos="1100"/>
                <w:tab w:val="left" w:pos="1400"/>
              </w:tabs>
              <w:jc w:val="both"/>
              <w:rPr>
                <w:rFonts w:cs="Arial"/>
              </w:rPr>
            </w:pPr>
            <w:r w:rsidRPr="005F2C03">
              <w:rPr>
                <w:rFonts w:cs="Arial"/>
              </w:rPr>
              <w:t>Cuando la persona natural sea una mujer y haya ejercido actividades comerciales a través de un establecimiento de comercio durante al menos el último año anterior a la fecha de cierre del proceso de selección. Esta circunstancia se acreditará mediante la copia de cédula de ciudadanía, la cédula de extranjería o el pasaporte, así como la copia del registro mercantil.</w:t>
            </w:r>
          </w:p>
        </w:tc>
        <w:tc>
          <w:tcPr>
            <w:tcW w:w="3607" w:type="dxa"/>
            <w:tcBorders>
              <w:top w:val="single" w:sz="4" w:space="0" w:color="auto"/>
              <w:left w:val="single" w:sz="4" w:space="0" w:color="auto"/>
              <w:bottom w:val="single" w:sz="4" w:space="0" w:color="auto"/>
              <w:right w:val="single" w:sz="4" w:space="0" w:color="auto"/>
            </w:tcBorders>
          </w:tcPr>
          <w:p w14:paraId="3202CB7F" w14:textId="77777777" w:rsidR="005F2C03" w:rsidRPr="005F2C03" w:rsidRDefault="005F2C03">
            <w:pPr>
              <w:jc w:val="both"/>
              <w:rPr>
                <w:rFonts w:cs="Arial"/>
              </w:rPr>
            </w:pPr>
            <w:r w:rsidRPr="005F2C03">
              <w:rPr>
                <w:rFonts w:cs="Arial"/>
              </w:rPr>
              <w:t>Esta circunstancia se acreditará mediante la copia de cédula de ciudadanía, la cédula de extranjería o el pasaporte, así como la copia del registro mercantil.</w:t>
            </w:r>
          </w:p>
          <w:p w14:paraId="30459656" w14:textId="77777777" w:rsidR="005F2C03" w:rsidRPr="005F2C03" w:rsidRDefault="005F2C03">
            <w:pPr>
              <w:tabs>
                <w:tab w:val="left" w:pos="700"/>
                <w:tab w:val="left" w:pos="1100"/>
                <w:tab w:val="left" w:pos="1400"/>
              </w:tabs>
              <w:jc w:val="both"/>
              <w:rPr>
                <w:rFonts w:cs="Arial"/>
              </w:rPr>
            </w:pPr>
          </w:p>
        </w:tc>
      </w:tr>
      <w:tr w:rsidR="005F2C03" w:rsidRPr="005F2C03" w14:paraId="6BFCBA58" w14:textId="77777777" w:rsidTr="005F2C03">
        <w:trPr>
          <w:jc w:val="center"/>
        </w:trPr>
        <w:tc>
          <w:tcPr>
            <w:tcW w:w="3702" w:type="dxa"/>
            <w:tcBorders>
              <w:top w:val="single" w:sz="4" w:space="0" w:color="auto"/>
              <w:left w:val="single" w:sz="4" w:space="0" w:color="auto"/>
              <w:bottom w:val="single" w:sz="4" w:space="0" w:color="auto"/>
              <w:right w:val="single" w:sz="4" w:space="0" w:color="auto"/>
            </w:tcBorders>
            <w:hideMark/>
          </w:tcPr>
          <w:p w14:paraId="75CFC6B0" w14:textId="77777777" w:rsidR="005F2C03" w:rsidRPr="005F2C03" w:rsidRDefault="005F2C03">
            <w:pPr>
              <w:tabs>
                <w:tab w:val="left" w:pos="700"/>
                <w:tab w:val="left" w:pos="1100"/>
                <w:tab w:val="left" w:pos="1400"/>
              </w:tabs>
              <w:jc w:val="both"/>
              <w:rPr>
                <w:rFonts w:cs="Arial"/>
              </w:rPr>
            </w:pPr>
            <w:r w:rsidRPr="005F2C03">
              <w:rPr>
                <w:rFonts w:cs="Arial"/>
              </w:rPr>
              <w:t>Para las asociaciones y cooperativas, cuando más del cincuenta por ciento (50%) de los asociados sean mujeres y la participación haya correspondido a estas durante al menos el último año anterior a la fecha de cierre del Proceso de Selección. Esta circunstancia se acreditará mediante certificación expedida por el representante legal.</w:t>
            </w:r>
          </w:p>
        </w:tc>
        <w:tc>
          <w:tcPr>
            <w:tcW w:w="3607" w:type="dxa"/>
            <w:tcBorders>
              <w:top w:val="single" w:sz="4" w:space="0" w:color="auto"/>
              <w:left w:val="single" w:sz="4" w:space="0" w:color="auto"/>
              <w:bottom w:val="single" w:sz="4" w:space="0" w:color="auto"/>
              <w:right w:val="single" w:sz="4" w:space="0" w:color="auto"/>
            </w:tcBorders>
            <w:hideMark/>
          </w:tcPr>
          <w:p w14:paraId="3F0633C4" w14:textId="77777777" w:rsidR="005F2C03" w:rsidRPr="005F2C03" w:rsidRDefault="005F2C03">
            <w:pPr>
              <w:tabs>
                <w:tab w:val="left" w:pos="700"/>
                <w:tab w:val="left" w:pos="1100"/>
                <w:tab w:val="left" w:pos="1400"/>
              </w:tabs>
              <w:jc w:val="both"/>
              <w:rPr>
                <w:rFonts w:cs="Arial"/>
              </w:rPr>
            </w:pPr>
            <w:r w:rsidRPr="005F2C03">
              <w:rPr>
                <w:rFonts w:cs="Arial"/>
              </w:rPr>
              <w:t>Esta circunstancia se acreditará mediante certificación expedida por el representante legal.</w:t>
            </w:r>
          </w:p>
        </w:tc>
      </w:tr>
    </w:tbl>
    <w:p w14:paraId="5985C17F" w14:textId="77777777" w:rsidR="005F2C03" w:rsidRPr="005F2C03" w:rsidRDefault="005F2C03" w:rsidP="005F2C03">
      <w:pPr>
        <w:tabs>
          <w:tab w:val="left" w:pos="1305"/>
        </w:tabs>
        <w:jc w:val="both"/>
        <w:rPr>
          <w:rFonts w:eastAsia="Times New Roman" w:cs="Arial"/>
          <w:lang w:val="es-ES" w:eastAsia="es-ES"/>
        </w:rPr>
      </w:pPr>
      <w:bookmarkStart w:id="37" w:name="_Hlk101176840"/>
      <w:bookmarkEnd w:id="35"/>
    </w:p>
    <w:p w14:paraId="7B5D04F7" w14:textId="77777777" w:rsidR="005F2C03" w:rsidRPr="005F2C03" w:rsidRDefault="005F2C03" w:rsidP="005F2C03">
      <w:pPr>
        <w:tabs>
          <w:tab w:val="left" w:pos="1305"/>
        </w:tabs>
        <w:jc w:val="both"/>
        <w:rPr>
          <w:rFonts w:cs="Arial"/>
        </w:rPr>
      </w:pPr>
      <w:r w:rsidRPr="005F2C03">
        <w:rPr>
          <w:rFonts w:cs="Arial"/>
        </w:rPr>
        <w:lastRenderedPageBreak/>
        <w:t>Respecto a los incentivos contractuales para los emprendimientos y empresas de mujeres, las certificaciones de que trata el presente artículo deben expedirse bajo la gravedad de juramento con una fecha de máximo treinta (30) días calendario anteriores a la fecha prevista para el cierre del procedimiento de selección.</w:t>
      </w:r>
      <w:bookmarkEnd w:id="36"/>
      <w:bookmarkEnd w:id="37"/>
    </w:p>
    <w:p w14:paraId="6C533211" w14:textId="77777777" w:rsidR="009E0471" w:rsidRPr="005F2C03" w:rsidRDefault="009E0471" w:rsidP="00EA401F">
      <w:pPr>
        <w:ind w:right="51"/>
        <w:jc w:val="both"/>
        <w:rPr>
          <w:rFonts w:eastAsia="Arial" w:cs="Arial"/>
        </w:rPr>
      </w:pPr>
    </w:p>
    <w:p w14:paraId="4C3BC46C" w14:textId="049AD697" w:rsidR="0053405F" w:rsidRPr="005F2C03" w:rsidRDefault="0053405F" w:rsidP="001D21F6">
      <w:pPr>
        <w:pStyle w:val="Ttulo1"/>
        <w:rPr>
          <w:rFonts w:cs="Arial"/>
          <w:szCs w:val="22"/>
          <w:lang w:eastAsia="ar-SA"/>
        </w:rPr>
      </w:pPr>
      <w:r w:rsidRPr="005F2C03">
        <w:rPr>
          <w:rFonts w:cs="Arial"/>
          <w:szCs w:val="22"/>
          <w:lang w:eastAsia="ar-SA"/>
        </w:rPr>
        <w:t>GARANTÍAS</w:t>
      </w:r>
    </w:p>
    <w:p w14:paraId="0276052E" w14:textId="77777777" w:rsidR="00261ABC" w:rsidRPr="005F2C03" w:rsidRDefault="00261ABC" w:rsidP="002C43B5">
      <w:pPr>
        <w:jc w:val="both"/>
        <w:rPr>
          <w:rFonts w:cs="Arial"/>
          <w:lang w:eastAsia="ar-SA"/>
        </w:rPr>
      </w:pPr>
    </w:p>
    <w:p w14:paraId="574D7BCD" w14:textId="16CA6729" w:rsidR="005A0439" w:rsidRPr="005F2C03" w:rsidRDefault="00F33B76" w:rsidP="005A0439">
      <w:pPr>
        <w:jc w:val="both"/>
        <w:rPr>
          <w:rFonts w:eastAsia="Times New Roman" w:cs="Arial"/>
        </w:rPr>
      </w:pPr>
      <w:r w:rsidRPr="005F2C03">
        <w:rPr>
          <w:rFonts w:cs="Arial"/>
          <w:lang w:eastAsia="ar-SA"/>
        </w:rPr>
        <w:t xml:space="preserve">Aparte de la Seriedad de Oferta, </w:t>
      </w:r>
      <w:r w:rsidR="005A0439" w:rsidRPr="005F2C03">
        <w:rPr>
          <w:rFonts w:cs="Arial"/>
          <w:lang w:eastAsia="ar-SA"/>
        </w:rPr>
        <w:t>para e</w:t>
      </w:r>
      <w:r w:rsidR="005A0439" w:rsidRPr="005F2C03">
        <w:rPr>
          <w:rFonts w:eastAsia="Batang" w:cs="Arial"/>
        </w:rPr>
        <w:t>l presente Contrato</w:t>
      </w:r>
      <w:r w:rsidR="005A0439" w:rsidRPr="005F2C03">
        <w:rPr>
          <w:rFonts w:eastAsia="Batang" w:cs="Arial"/>
          <w:b/>
        </w:rPr>
        <w:t xml:space="preserve"> </w:t>
      </w:r>
      <w:r w:rsidR="005A0439" w:rsidRPr="005F2C03">
        <w:rPr>
          <w:rFonts w:cs="Arial"/>
        </w:rPr>
        <w:t>la Entidad no exigirá la constitución de garantías contractuales establecidas en el Decreto 1082 de 2015, por no ser obligatorio para los contratos de seguros, tal y como lo establece el párrafo 5 del artículo 7 de la Ley 1150 de 2007, al señalar lo siguiente:</w:t>
      </w:r>
    </w:p>
    <w:p w14:paraId="52934BE0" w14:textId="77777777" w:rsidR="005A0439" w:rsidRPr="005F2C03" w:rsidRDefault="005A0439" w:rsidP="005A0439">
      <w:pPr>
        <w:jc w:val="both"/>
        <w:rPr>
          <w:rFonts w:cs="Arial"/>
        </w:rPr>
      </w:pPr>
    </w:p>
    <w:p w14:paraId="77D2B97F" w14:textId="77777777" w:rsidR="005A0439" w:rsidRPr="005F2C03" w:rsidRDefault="005A0439" w:rsidP="005A0439">
      <w:pPr>
        <w:jc w:val="both"/>
        <w:rPr>
          <w:rFonts w:cs="Arial"/>
          <w:i/>
          <w:iCs/>
        </w:rPr>
      </w:pPr>
      <w:r w:rsidRPr="005F2C03">
        <w:rPr>
          <w:rFonts w:cs="Arial"/>
          <w:i/>
          <w:iCs/>
        </w:rPr>
        <w:t>"(...)</w:t>
      </w:r>
    </w:p>
    <w:p w14:paraId="6A233745" w14:textId="77777777" w:rsidR="005A0439" w:rsidRPr="005F2C03" w:rsidRDefault="005A0439" w:rsidP="005A0439">
      <w:pPr>
        <w:jc w:val="both"/>
        <w:rPr>
          <w:rFonts w:cs="Arial"/>
          <w:i/>
          <w:iCs/>
        </w:rPr>
      </w:pPr>
    </w:p>
    <w:p w14:paraId="640C2EE7" w14:textId="77777777" w:rsidR="005A0439" w:rsidRPr="005F2C03" w:rsidRDefault="005A0439" w:rsidP="005A0439">
      <w:pPr>
        <w:jc w:val="both"/>
        <w:rPr>
          <w:rFonts w:cs="Arial"/>
          <w:i/>
          <w:iCs/>
        </w:rPr>
      </w:pPr>
      <w:r w:rsidRPr="005F2C03">
        <w:rPr>
          <w:rFonts w:cs="Arial"/>
          <w:i/>
          <w:iCs/>
        </w:rPr>
        <w:t xml:space="preserve">Las garantías no serán obligatorias en los contratos de empréstito, en los interadministrativos, </w:t>
      </w:r>
      <w:r w:rsidRPr="005F2C03">
        <w:rPr>
          <w:rFonts w:cs="Arial"/>
          <w:b/>
          <w:i/>
          <w:iCs/>
          <w:u w:val="single"/>
        </w:rPr>
        <w:t>en los de seguro</w:t>
      </w:r>
      <w:r w:rsidRPr="005F2C03">
        <w:rPr>
          <w:rFonts w:cs="Arial"/>
          <w:i/>
          <w:iCs/>
        </w:rPr>
        <w:t xml:space="preserve"> y en los contratos cuyo valor sea inferior al 10% de la menor cuantía a que se refiere esta ley, caso en el cual corresponderá a la entidad determinar la necesidad de exigirla, atendiendo a la naturaleza del objeto del contrato y a la forma de pago, así como en /os demás que señale el reglamento.</w:t>
      </w:r>
    </w:p>
    <w:p w14:paraId="42702FC8" w14:textId="77777777" w:rsidR="005A0439" w:rsidRPr="005F2C03" w:rsidRDefault="005A0439" w:rsidP="005A0439">
      <w:pPr>
        <w:jc w:val="both"/>
        <w:rPr>
          <w:rFonts w:cs="Arial"/>
          <w:i/>
          <w:iCs/>
        </w:rPr>
      </w:pPr>
    </w:p>
    <w:p w14:paraId="64E5D9A8" w14:textId="77777777" w:rsidR="005A0439" w:rsidRPr="005F2C03" w:rsidRDefault="005A0439" w:rsidP="005A0439">
      <w:pPr>
        <w:jc w:val="both"/>
        <w:rPr>
          <w:rFonts w:cs="Arial"/>
          <w:i/>
          <w:iCs/>
        </w:rPr>
      </w:pPr>
      <w:r w:rsidRPr="005F2C03">
        <w:rPr>
          <w:rFonts w:cs="Arial"/>
          <w:b/>
          <w:bCs/>
          <w:i/>
          <w:iCs/>
        </w:rPr>
        <w:t>Parágrafo Transitorio.</w:t>
      </w:r>
      <w:r w:rsidRPr="005F2C03">
        <w:rPr>
          <w:rFonts w:cs="Arial"/>
          <w:i/>
          <w:iCs/>
        </w:rPr>
        <w:t xml:space="preserve"> Durante el período que transcurra entre la entrada en vigencia de la reforma contenida en la presente ley y la expedición del decreto reglamentario a que se refiere este artículo, las entidades estatales continuarán aplicando las normas legales y reglamentarias vigentes.</w:t>
      </w:r>
    </w:p>
    <w:p w14:paraId="60DBDF3E" w14:textId="77777777" w:rsidR="005A0439" w:rsidRPr="005F2C03" w:rsidRDefault="005A0439" w:rsidP="005A0439">
      <w:pPr>
        <w:jc w:val="both"/>
        <w:rPr>
          <w:rFonts w:cs="Arial"/>
          <w:i/>
          <w:iCs/>
        </w:rPr>
      </w:pPr>
    </w:p>
    <w:p w14:paraId="6E1025DD" w14:textId="77777777" w:rsidR="005A0439" w:rsidRPr="005F2C03" w:rsidRDefault="005A0439" w:rsidP="005A0439">
      <w:pPr>
        <w:jc w:val="both"/>
        <w:rPr>
          <w:rFonts w:cs="Arial"/>
          <w:i/>
          <w:iCs/>
        </w:rPr>
      </w:pPr>
      <w:r w:rsidRPr="005F2C03">
        <w:rPr>
          <w:rFonts w:cs="Arial"/>
          <w:i/>
          <w:iCs/>
        </w:rPr>
        <w:t>(...)" Negrillas propias de la entidad.</w:t>
      </w:r>
    </w:p>
    <w:p w14:paraId="7C896F0A" w14:textId="77777777" w:rsidR="005A0439" w:rsidRPr="005F2C03" w:rsidRDefault="005A0439" w:rsidP="005A0439">
      <w:pPr>
        <w:jc w:val="both"/>
        <w:rPr>
          <w:rFonts w:cs="Arial"/>
        </w:rPr>
      </w:pPr>
    </w:p>
    <w:p w14:paraId="3F75D83B" w14:textId="77777777" w:rsidR="005A0439" w:rsidRPr="005F2C03" w:rsidRDefault="005A0439" w:rsidP="005A0439">
      <w:pPr>
        <w:jc w:val="both"/>
        <w:rPr>
          <w:rFonts w:cs="Arial"/>
          <w:lang w:eastAsia="es-CO"/>
        </w:rPr>
      </w:pPr>
      <w:r w:rsidRPr="005F2C03">
        <w:rPr>
          <w:rFonts w:cs="Arial"/>
          <w:lang w:eastAsia="es-CO"/>
        </w:rPr>
        <w:t>Los contratos de seguros presentan una amplia regulación normativa e intervención estatal, incluyendo también los regímenes de protección al consumidor. En las pólizas de seguros se tiene como obligación principal de indemnizar los siniestros que se encuentren amparados, por lo cual, si las Compañías de Seguros no cumplen lo pactado, se le aplican las sanciones propias contenidas en el Código de Comercio.</w:t>
      </w:r>
    </w:p>
    <w:p w14:paraId="26F5242E" w14:textId="77777777" w:rsidR="005A0439" w:rsidRPr="005F2C03" w:rsidRDefault="005A0439" w:rsidP="005A0439">
      <w:pPr>
        <w:jc w:val="both"/>
        <w:rPr>
          <w:rFonts w:cs="Arial"/>
          <w:lang w:eastAsia="es-CO"/>
        </w:rPr>
      </w:pPr>
    </w:p>
    <w:p w14:paraId="2579BCE6" w14:textId="69B71CA5" w:rsidR="005A0439" w:rsidRPr="005F2C03" w:rsidRDefault="005A0439" w:rsidP="005A0439">
      <w:pPr>
        <w:jc w:val="both"/>
        <w:rPr>
          <w:rFonts w:cs="Arial"/>
          <w:lang w:eastAsia="es-CO"/>
        </w:rPr>
      </w:pPr>
      <w:r w:rsidRPr="005F2C03">
        <w:rPr>
          <w:rFonts w:cs="Arial"/>
          <w:lang w:eastAsia="es-CO"/>
        </w:rPr>
        <w:t>Dentro de los elementos esenciales del contrato de seguro (articulo No. 1045 del Código de Comercio) está la obligación condicional del asegurador. La obligación condicional del asegurador es la condición de indemnizar al asegurado en caso de que ocurra el suceso incierto (riesgo).</w:t>
      </w:r>
    </w:p>
    <w:p w14:paraId="4A508245" w14:textId="77777777" w:rsidR="005A0439" w:rsidRPr="005F2C03" w:rsidRDefault="005A0439" w:rsidP="005A0439">
      <w:pPr>
        <w:jc w:val="both"/>
        <w:rPr>
          <w:rFonts w:cs="Arial"/>
          <w:lang w:eastAsia="es-CO"/>
        </w:rPr>
      </w:pPr>
    </w:p>
    <w:p w14:paraId="0DA26C2F" w14:textId="77777777" w:rsidR="005A0439" w:rsidRPr="005F2C03" w:rsidRDefault="005A0439" w:rsidP="005A0439">
      <w:pPr>
        <w:jc w:val="both"/>
        <w:rPr>
          <w:rFonts w:cs="Arial"/>
          <w:lang w:eastAsia="es-CO"/>
        </w:rPr>
      </w:pPr>
      <w:r w:rsidRPr="005F2C03">
        <w:rPr>
          <w:rFonts w:cs="Arial"/>
          <w:lang w:eastAsia="es-CO"/>
        </w:rPr>
        <w:t>La prescripción el contrato de seguro (articulo No. 1081 del Código de Comercio) es de 2 o 5 años. La prescripción ordinaria será de dos años y empezará a correr desde el momento en que el interesado haya tenido o debido tener conocimiento del hecho que da base a la acción. Esto quiere decir que si una reclamación ante la Compañía de Seguros se realizara y/o formalizara posterior a que hayan finalizado la vigencia de las pólizas contratadas, pero el evento o hecho que genero este siniestro ocurrió dentro de la vigencia de la póliza contratada, la Compañía de Seguros responderá por los mismos. Así mismo acorde al artículo No. 1073 del Código de Comercio Si el siniestro, iniciado antes y continuado después de vencido el término del seguro, consuma la pérdida o deterioro de la cosa asegurada, el asegurador responde del valor de la indemnización en los términos del contrato.</w:t>
      </w:r>
    </w:p>
    <w:p w14:paraId="2B1CF5C2" w14:textId="77777777" w:rsidR="005A0439" w:rsidRPr="005F2C03" w:rsidRDefault="005A0439" w:rsidP="005A0439">
      <w:pPr>
        <w:jc w:val="both"/>
        <w:rPr>
          <w:rFonts w:cs="Arial"/>
          <w:lang w:eastAsia="es-CO"/>
        </w:rPr>
      </w:pPr>
    </w:p>
    <w:p w14:paraId="110CCD2D" w14:textId="77777777" w:rsidR="005A0439" w:rsidRPr="005F2C03" w:rsidRDefault="005A0439" w:rsidP="005A0439">
      <w:pPr>
        <w:jc w:val="both"/>
        <w:rPr>
          <w:rFonts w:cs="Arial"/>
          <w:u w:val="single"/>
          <w:lang w:eastAsia="es-CO"/>
        </w:rPr>
      </w:pPr>
      <w:r w:rsidRPr="005F2C03">
        <w:rPr>
          <w:rFonts w:cs="Arial"/>
          <w:u w:val="single"/>
          <w:lang w:eastAsia="es-CO"/>
        </w:rPr>
        <w:t>En tal sentido NO se exigirá garantías contractuales para el presente proceso de selección.</w:t>
      </w:r>
    </w:p>
    <w:p w14:paraId="3327E594" w14:textId="77777777" w:rsidR="005A0439" w:rsidRPr="005F2C03" w:rsidRDefault="005A0439" w:rsidP="005A0439">
      <w:pPr>
        <w:jc w:val="both"/>
        <w:rPr>
          <w:rFonts w:cs="Arial"/>
          <w:u w:val="single"/>
          <w:lang w:eastAsia="es-CO"/>
        </w:rPr>
      </w:pPr>
    </w:p>
    <w:p w14:paraId="1C9F3B61" w14:textId="77777777" w:rsidR="005A0439" w:rsidRPr="005F2C03" w:rsidRDefault="005A0439" w:rsidP="005A0439">
      <w:pPr>
        <w:jc w:val="both"/>
        <w:rPr>
          <w:rFonts w:cs="Arial"/>
          <w:color w:val="000000"/>
          <w:lang w:eastAsia="es-CO"/>
        </w:rPr>
      </w:pPr>
      <w:r w:rsidRPr="005F2C03">
        <w:rPr>
          <w:rFonts w:cs="Arial"/>
          <w:color w:val="000000"/>
          <w:lang w:eastAsia="es-CO"/>
        </w:rPr>
        <w:t>Cabe anotar que, como mecanismo de cobertura, el incumplimiento en el pago de siniestros conlleva a que la póliza preste mérito ejecutivo conforme a lo previsto en el artículo 1053 del Código de Comercio.</w:t>
      </w:r>
    </w:p>
    <w:p w14:paraId="4FAD84ED" w14:textId="23B5BF33" w:rsidR="00261ABC" w:rsidRPr="005F2C03" w:rsidRDefault="00261ABC" w:rsidP="00261ABC">
      <w:pPr>
        <w:jc w:val="both"/>
        <w:rPr>
          <w:rFonts w:cs="Arial"/>
          <w:lang w:eastAsia="ar-SA"/>
        </w:rPr>
      </w:pPr>
    </w:p>
    <w:p w14:paraId="2DC89978" w14:textId="1A53BE0E" w:rsidR="0053405F" w:rsidRPr="005F2C03" w:rsidRDefault="0053405F" w:rsidP="00AF3596">
      <w:pPr>
        <w:pStyle w:val="Ttulo2"/>
        <w:rPr>
          <w:rFonts w:cs="Arial"/>
          <w:szCs w:val="22"/>
          <w:lang w:eastAsia="ar-SA"/>
        </w:rPr>
      </w:pPr>
      <w:r w:rsidRPr="005F2C03">
        <w:rPr>
          <w:rFonts w:cs="Arial"/>
          <w:szCs w:val="22"/>
          <w:lang w:eastAsia="ar-SA"/>
        </w:rPr>
        <w:t>ASIGNACIÓN Y DISTRIBUCIÓN DE RIESGOS DE LA EJECUCIÓN</w:t>
      </w:r>
    </w:p>
    <w:p w14:paraId="4C01D80C" w14:textId="77777777" w:rsidR="00EA25DD" w:rsidRPr="005F2C03" w:rsidRDefault="00EA25DD" w:rsidP="00EA25DD">
      <w:pPr>
        <w:rPr>
          <w:lang w:eastAsia="ar-SA"/>
        </w:rPr>
      </w:pPr>
    </w:p>
    <w:p w14:paraId="10714699" w14:textId="77777777" w:rsidR="002A2548" w:rsidRPr="005F2C03" w:rsidRDefault="002A2548" w:rsidP="002A2548">
      <w:pPr>
        <w:jc w:val="both"/>
        <w:rPr>
          <w:rFonts w:cs="Arial"/>
          <w:lang w:eastAsia="es-CO"/>
        </w:rPr>
      </w:pPr>
      <w:r w:rsidRPr="005F2C03">
        <w:rPr>
          <w:rFonts w:cs="Arial"/>
          <w:lang w:eastAsia="es-CO"/>
        </w:rPr>
        <w:t>Que teniendo en cuenta la expedición del Decreto 1082 de 2015, el riesgo “es un evento que puede generar efectos adversos y de distinta magnitud en el logro de los objetivos del Proceso de Contratación o en la ejecución de un Contrato”.</w:t>
      </w:r>
    </w:p>
    <w:p w14:paraId="64AE138D" w14:textId="77777777" w:rsidR="002A2548" w:rsidRPr="005F2C03" w:rsidRDefault="002A2548" w:rsidP="002A2548">
      <w:pPr>
        <w:jc w:val="both"/>
        <w:rPr>
          <w:rFonts w:cs="Arial"/>
          <w:lang w:eastAsia="es-CO"/>
        </w:rPr>
      </w:pPr>
    </w:p>
    <w:p w14:paraId="0530FC5E" w14:textId="77777777" w:rsidR="002A2548" w:rsidRPr="005F2C03" w:rsidRDefault="002A2548" w:rsidP="002A2548">
      <w:pPr>
        <w:jc w:val="both"/>
        <w:rPr>
          <w:rFonts w:cs="Arial"/>
          <w:lang w:eastAsia="es-CO"/>
        </w:rPr>
      </w:pPr>
      <w:r w:rsidRPr="005F2C03">
        <w:rPr>
          <w:rFonts w:cs="Arial"/>
          <w:lang w:eastAsia="es-CO"/>
        </w:rPr>
        <w:t>Los artículos 15 y 17 del citado Decreto establecen la obligación para las entidades estatales de realizar, durante la etapa de planeación, el análisis de riesgo, por lo cual la entidad presenta, en documento Excel, la matriz de riesgos del presente proceso contractual.</w:t>
      </w:r>
    </w:p>
    <w:p w14:paraId="434E4417" w14:textId="77777777" w:rsidR="002A2548" w:rsidRPr="005F2C03" w:rsidRDefault="002A2548" w:rsidP="002A2548">
      <w:pPr>
        <w:jc w:val="both"/>
        <w:rPr>
          <w:rFonts w:cs="Arial"/>
          <w:lang w:eastAsia="es-CO"/>
        </w:rPr>
      </w:pPr>
    </w:p>
    <w:p w14:paraId="2C970B10" w14:textId="77777777" w:rsidR="002A2548" w:rsidRPr="005F2C03" w:rsidRDefault="002A2548" w:rsidP="002A2548">
      <w:pPr>
        <w:jc w:val="both"/>
        <w:rPr>
          <w:rFonts w:cs="Arial"/>
          <w:lang w:eastAsia="es-CO"/>
        </w:rPr>
      </w:pPr>
      <w:r w:rsidRPr="005F2C03">
        <w:rPr>
          <w:rFonts w:cs="Arial"/>
          <w:lang w:eastAsia="es-CO"/>
        </w:rPr>
        <w:t>La matriz de riesgos establecida tiene en cuenta los lineamientos dados en el “Manual para la Identificación y Cobertura del Riesgo en los Procesos de Contratación”, y que busca proteger a las entidades públicas de los eventos en el proceso de contratación, buscando reducir la probabilidad de ocurrencia del evento y de su impacto en el proceso de contratación.</w:t>
      </w:r>
    </w:p>
    <w:p w14:paraId="39901D16" w14:textId="77777777" w:rsidR="002A2548" w:rsidRPr="005F2C03" w:rsidRDefault="002A2548" w:rsidP="002A2548">
      <w:pPr>
        <w:jc w:val="both"/>
        <w:rPr>
          <w:rFonts w:cs="Arial"/>
          <w:lang w:eastAsia="es-CO"/>
        </w:rPr>
      </w:pPr>
    </w:p>
    <w:p w14:paraId="68B89847" w14:textId="77777777" w:rsidR="002A2548" w:rsidRPr="005F2C03" w:rsidRDefault="002A2548" w:rsidP="002A2548">
      <w:pPr>
        <w:jc w:val="both"/>
        <w:rPr>
          <w:rFonts w:cs="Arial"/>
          <w:lang w:eastAsia="es-CO"/>
        </w:rPr>
      </w:pPr>
      <w:r w:rsidRPr="005F2C03">
        <w:rPr>
          <w:rFonts w:cs="Arial"/>
          <w:lang w:eastAsia="es-CO"/>
        </w:rPr>
        <w:t xml:space="preserve">Así mismo, es importante precisar el análisis correspondiente al </w:t>
      </w:r>
      <w:r w:rsidRPr="005F2C03">
        <w:rPr>
          <w:rFonts w:cs="Arial"/>
          <w:b/>
          <w:bCs/>
          <w:lang w:eastAsia="es-CO"/>
        </w:rPr>
        <w:t>RIESGO DE DESEQUILIBRIO ECONÓMICO</w:t>
      </w:r>
      <w:r w:rsidRPr="005F2C03">
        <w:rPr>
          <w:rFonts w:cs="Arial"/>
          <w:lang w:eastAsia="es-CO"/>
        </w:rPr>
        <w:t>, precisando lo siguiente:</w:t>
      </w:r>
    </w:p>
    <w:p w14:paraId="0CB6B9FB" w14:textId="77777777" w:rsidR="002A2548" w:rsidRPr="005F2C03" w:rsidRDefault="002A2548" w:rsidP="002A2548">
      <w:pPr>
        <w:jc w:val="both"/>
        <w:rPr>
          <w:rFonts w:cs="Arial"/>
          <w:lang w:eastAsia="es-CO"/>
        </w:rPr>
      </w:pPr>
    </w:p>
    <w:p w14:paraId="59099205" w14:textId="77777777" w:rsidR="002A2548" w:rsidRPr="005F2C03" w:rsidRDefault="002A2548" w:rsidP="002A2548">
      <w:pPr>
        <w:jc w:val="both"/>
        <w:rPr>
          <w:rFonts w:cs="Arial"/>
          <w:lang w:eastAsia="es-CO"/>
        </w:rPr>
      </w:pPr>
      <w:r w:rsidRPr="005F2C03">
        <w:rPr>
          <w:rFonts w:cs="Arial"/>
          <w:lang w:eastAsia="es-CO"/>
        </w:rPr>
        <w:t>Conforme lo indicado en el documento CONPES 3714 del 01 de diciembre de 2011 se señaló que:</w:t>
      </w:r>
    </w:p>
    <w:p w14:paraId="5F33C0BA" w14:textId="77777777" w:rsidR="002A2548" w:rsidRPr="005F2C03" w:rsidRDefault="002A2548" w:rsidP="002A2548">
      <w:pPr>
        <w:jc w:val="both"/>
        <w:rPr>
          <w:rFonts w:cs="Arial"/>
          <w:lang w:eastAsia="es-CO"/>
        </w:rPr>
      </w:pPr>
    </w:p>
    <w:p w14:paraId="5F758386" w14:textId="77777777" w:rsidR="002A2548" w:rsidRPr="005F2C03" w:rsidRDefault="002A2548" w:rsidP="002A2548">
      <w:pPr>
        <w:jc w:val="both"/>
        <w:rPr>
          <w:rFonts w:cs="Arial"/>
          <w:i/>
          <w:iCs/>
          <w:lang w:eastAsia="es-CO"/>
        </w:rPr>
      </w:pPr>
      <w:r w:rsidRPr="005F2C03">
        <w:rPr>
          <w:rFonts w:cs="Arial"/>
          <w:i/>
          <w:iCs/>
          <w:lang w:eastAsia="es-CO"/>
        </w:rPr>
        <w:t>“El riesgo contractual en general es entendido como todas aquellas circunstancias que pueden presentarse durante el desarrollo de un contrato y que pueden alterar el equilibrio financiero del mismo y ha tenido una regulación desde cinco ópticas, asociadas con el proceso de gestión que se requiere en cada caso.”</w:t>
      </w:r>
    </w:p>
    <w:p w14:paraId="3A43915C" w14:textId="77777777" w:rsidR="002A2548" w:rsidRPr="005F2C03" w:rsidRDefault="002A2548" w:rsidP="002A2548">
      <w:pPr>
        <w:jc w:val="both"/>
        <w:rPr>
          <w:rFonts w:cs="Arial"/>
          <w:lang w:eastAsia="es-CO"/>
        </w:rPr>
      </w:pPr>
    </w:p>
    <w:p w14:paraId="4D2C3C8E" w14:textId="77777777" w:rsidR="002A2548" w:rsidRPr="005F2C03" w:rsidRDefault="002A2548" w:rsidP="002A2548">
      <w:pPr>
        <w:jc w:val="both"/>
        <w:rPr>
          <w:rFonts w:cs="Arial"/>
          <w:lang w:eastAsia="es-CO"/>
        </w:rPr>
      </w:pPr>
      <w:r w:rsidRPr="005F2C03">
        <w:rPr>
          <w:rFonts w:cs="Arial"/>
          <w:lang w:eastAsia="es-CO"/>
        </w:rPr>
        <w:t>Así mismo, el Consejo de Estado, en concepto del 14 de agosto de 1997, radicación No. 1011 señaló:</w:t>
      </w:r>
    </w:p>
    <w:p w14:paraId="351BEE06" w14:textId="77777777" w:rsidR="002A2548" w:rsidRPr="005F2C03" w:rsidRDefault="002A2548" w:rsidP="002A2548">
      <w:pPr>
        <w:jc w:val="both"/>
        <w:rPr>
          <w:rFonts w:cs="Arial"/>
          <w:lang w:eastAsia="es-CO"/>
        </w:rPr>
      </w:pPr>
    </w:p>
    <w:p w14:paraId="0B873F3D" w14:textId="77777777" w:rsidR="002A2548" w:rsidRPr="005F2C03" w:rsidRDefault="002A2548" w:rsidP="002A2548">
      <w:pPr>
        <w:jc w:val="both"/>
        <w:rPr>
          <w:rFonts w:cs="Arial"/>
          <w:i/>
          <w:iCs/>
          <w:lang w:eastAsia="es-CO"/>
        </w:rPr>
      </w:pPr>
      <w:r w:rsidRPr="005F2C03">
        <w:rPr>
          <w:rFonts w:cs="Arial"/>
          <w:i/>
          <w:iCs/>
          <w:lang w:eastAsia="es-CO"/>
        </w:rPr>
        <w:t>“En el caso concreto de un contrato de seguros, es claro que al ser este un contrato aleatorio conforme a la naturaleza y además por su extensa disposición legal, no le es aplicable la teoría de la imprevisión y consiguientemente, no hay lugar a la figura del restablecimiento del equilibrio de la ecuación contractual que se predica de los contratos conmutativos, en los cuales sí se presenta la equivalencia de las prestaciones de los contratantes”</w:t>
      </w:r>
    </w:p>
    <w:p w14:paraId="5E91BF94" w14:textId="77777777" w:rsidR="002A2548" w:rsidRPr="005F2C03" w:rsidRDefault="002A2548" w:rsidP="002A2548">
      <w:pPr>
        <w:jc w:val="both"/>
        <w:rPr>
          <w:rFonts w:cs="Arial"/>
          <w:lang w:eastAsia="es-CO"/>
        </w:rPr>
      </w:pPr>
    </w:p>
    <w:p w14:paraId="186F885B" w14:textId="77777777" w:rsidR="002A2548" w:rsidRPr="005F2C03" w:rsidRDefault="002A2548" w:rsidP="002A2548">
      <w:pPr>
        <w:jc w:val="both"/>
        <w:rPr>
          <w:rFonts w:cs="Arial"/>
          <w:lang w:eastAsia="es-CO"/>
        </w:rPr>
      </w:pPr>
      <w:r w:rsidRPr="005F2C03">
        <w:rPr>
          <w:rFonts w:cs="Arial"/>
          <w:lang w:eastAsia="es-CO"/>
        </w:rPr>
        <w:t>De igual manera, manifiesta el Consejo de Estado que:</w:t>
      </w:r>
    </w:p>
    <w:p w14:paraId="09CEBAA4" w14:textId="77777777" w:rsidR="002A2548" w:rsidRPr="005F2C03" w:rsidRDefault="002A2548" w:rsidP="002A2548">
      <w:pPr>
        <w:jc w:val="both"/>
        <w:rPr>
          <w:rFonts w:cs="Arial"/>
          <w:i/>
          <w:iCs/>
          <w:lang w:eastAsia="es-CO"/>
        </w:rPr>
      </w:pPr>
      <w:r w:rsidRPr="005F2C03">
        <w:rPr>
          <w:rFonts w:cs="Arial"/>
          <w:i/>
          <w:iCs/>
          <w:lang w:eastAsia="es-CO"/>
        </w:rPr>
        <w:t>“Al contrato de seguro no le es aplicable el inciso segundo del numeral 1° del artículo 5 de la Ley 80 de 193, en lo que se refiere al reconocimiento del equilibrio de la ecuación económica del contrato por la ocurrencia de situaciones imprevistas no imputables al contratista. Ello por cuanto la teoría de la imprevisión no rige para los contratos aleatorios, como lo es el de seguro, por la naturaleza misma de éste y por expresa disposición del último inciso del artículo 868 del Código de Comercio”</w:t>
      </w:r>
    </w:p>
    <w:p w14:paraId="5ADAE62A" w14:textId="77777777" w:rsidR="002A2548" w:rsidRPr="005F2C03" w:rsidRDefault="002A2548" w:rsidP="002A2548">
      <w:pPr>
        <w:jc w:val="both"/>
        <w:rPr>
          <w:rFonts w:cs="Arial"/>
          <w:lang w:eastAsia="es-CO"/>
        </w:rPr>
      </w:pPr>
    </w:p>
    <w:p w14:paraId="1ABCC921" w14:textId="77777777" w:rsidR="002A2548" w:rsidRPr="005F2C03" w:rsidRDefault="002A2548" w:rsidP="002A2548">
      <w:pPr>
        <w:jc w:val="both"/>
        <w:rPr>
          <w:rFonts w:cs="Arial"/>
          <w:lang w:eastAsia="es-CO"/>
        </w:rPr>
      </w:pPr>
      <w:r w:rsidRPr="005F2C03">
        <w:rPr>
          <w:rFonts w:cs="Arial"/>
          <w:lang w:eastAsia="es-CO"/>
        </w:rPr>
        <w:lastRenderedPageBreak/>
        <w:t>En consecuencia y considerando que al contrato de seguro no le es aplicable la teoría de la imprevisión, no procede la estimación, tipificación y asignación de este tipo de riesgo.</w:t>
      </w:r>
    </w:p>
    <w:p w14:paraId="577CB1BB" w14:textId="77777777" w:rsidR="002A2548" w:rsidRPr="005F2C03" w:rsidRDefault="002A2548" w:rsidP="002A2548">
      <w:pPr>
        <w:jc w:val="both"/>
        <w:rPr>
          <w:rFonts w:cs="Arial"/>
          <w:lang w:eastAsia="es-CO"/>
        </w:rPr>
      </w:pPr>
    </w:p>
    <w:p w14:paraId="65BB3C5B" w14:textId="6E90189B" w:rsidR="002A2548" w:rsidRPr="005F2C03" w:rsidRDefault="002A2548" w:rsidP="002A2548">
      <w:pPr>
        <w:jc w:val="both"/>
        <w:rPr>
          <w:rFonts w:cs="Arial"/>
          <w:lang w:eastAsia="es-CO"/>
        </w:rPr>
      </w:pPr>
      <w:r w:rsidRPr="005F2C03">
        <w:rPr>
          <w:rFonts w:cs="Arial"/>
          <w:lang w:eastAsia="es-CO"/>
        </w:rPr>
        <w:t xml:space="preserve">Teniendo en cuenta lo anterior, se presenta el análisis de matriz de riesgos en Anexo No. </w:t>
      </w:r>
      <w:r w:rsidR="00E96EE0" w:rsidRPr="005F2C03">
        <w:rPr>
          <w:rFonts w:cs="Arial"/>
          <w:lang w:eastAsia="es-CO"/>
        </w:rPr>
        <w:t>4</w:t>
      </w:r>
      <w:r w:rsidRPr="005F2C03">
        <w:rPr>
          <w:rFonts w:cs="Arial"/>
          <w:lang w:eastAsia="es-CO"/>
        </w:rPr>
        <w:t>, el cual hace parte integral del proceso, dentro de la cual se establecen los riesgos precontractuales, contractuales y post contractuales del presente proceso.</w:t>
      </w:r>
    </w:p>
    <w:p w14:paraId="28461AE9" w14:textId="77777777" w:rsidR="005F2C03" w:rsidRDefault="005F2C03" w:rsidP="005F2C03">
      <w:pPr>
        <w:pStyle w:val="Prrafodelista"/>
        <w:tabs>
          <w:tab w:val="left" w:pos="426"/>
        </w:tabs>
        <w:ind w:left="0"/>
        <w:jc w:val="both"/>
        <w:rPr>
          <w:rFonts w:cs="Arial"/>
          <w:b/>
          <w:bCs/>
          <w:lang w:eastAsia="es-CO"/>
        </w:rPr>
      </w:pPr>
    </w:p>
    <w:p w14:paraId="35D3E296" w14:textId="3987C2BA" w:rsidR="005F2C03" w:rsidRPr="005F2C03" w:rsidRDefault="005F2C03" w:rsidP="005F2C03">
      <w:pPr>
        <w:pStyle w:val="Prrafodelista"/>
        <w:tabs>
          <w:tab w:val="left" w:pos="426"/>
        </w:tabs>
        <w:ind w:left="0"/>
        <w:jc w:val="both"/>
        <w:rPr>
          <w:rFonts w:cs="Arial"/>
          <w:b/>
          <w:spacing w:val="-5"/>
          <w:lang w:eastAsia="es-CO"/>
        </w:rPr>
      </w:pPr>
      <w:r w:rsidRPr="005F2C03">
        <w:rPr>
          <w:rFonts w:cs="Arial"/>
          <w:b/>
          <w:bCs/>
          <w:lang w:eastAsia="es-CO"/>
        </w:rPr>
        <w:t>ACUERDOS COMERCIALES</w:t>
      </w:r>
    </w:p>
    <w:p w14:paraId="1CA8675E" w14:textId="77777777" w:rsidR="005F2C03" w:rsidRPr="005F2C03" w:rsidRDefault="005F2C03">
      <w:pPr>
        <w:pStyle w:val="Sinespaciado"/>
        <w:numPr>
          <w:ilvl w:val="0"/>
          <w:numId w:val="22"/>
        </w:numPr>
        <w:tabs>
          <w:tab w:val="left" w:pos="426"/>
        </w:tabs>
        <w:rPr>
          <w:rFonts w:ascii="Arial Narrow" w:hAnsi="Arial Narrow" w:cs="Arial"/>
          <w:iCs/>
        </w:rPr>
      </w:pPr>
    </w:p>
    <w:p w14:paraId="03923095" w14:textId="7C58834E" w:rsidR="005F2C03" w:rsidRPr="005F2C03" w:rsidRDefault="005F2C03" w:rsidP="005F2C03">
      <w:pPr>
        <w:pStyle w:val="Sinespaciado"/>
        <w:tabs>
          <w:tab w:val="left" w:pos="426"/>
        </w:tabs>
        <w:jc w:val="both"/>
        <w:rPr>
          <w:rFonts w:ascii="Arial Narrow" w:hAnsi="Arial Narrow" w:cs="Times New Roman"/>
          <w:bCs/>
          <w:iCs/>
        </w:rPr>
      </w:pPr>
      <w:r w:rsidRPr="005F2C03">
        <w:rPr>
          <w:rFonts w:ascii="Arial Narrow" w:hAnsi="Arial Narrow" w:cs="Arial"/>
          <w:iCs/>
        </w:rPr>
        <w:t xml:space="preserve">Para este proceso no aplican acuerdos comerciales, </w:t>
      </w:r>
      <w:bookmarkStart w:id="38" w:name="_Hlk166791337"/>
      <w:r w:rsidRPr="005F2C03">
        <w:rPr>
          <w:rFonts w:ascii="Arial Narrow" w:hAnsi="Arial Narrow" w:cs="Arial"/>
          <w:iCs/>
        </w:rPr>
        <w:t>a</w:t>
      </w:r>
      <w:r w:rsidRPr="005F2C03">
        <w:rPr>
          <w:rFonts w:ascii="Arial Narrow" w:hAnsi="Arial Narrow"/>
          <w:bCs/>
          <w:iCs/>
        </w:rPr>
        <w:t xml:space="preserve">tendiendo las disposiciones de la Sección 4, Subsección 1 del Decreto 1082 de 2015, y para dar cumplimiento a lo establecido en el artículo 2.2.1.2.4.1.1 y siguientes del Decreto 1082 de 2015, se hace constar que la </w:t>
      </w:r>
      <w:r>
        <w:rPr>
          <w:rFonts w:ascii="Arial Narrow" w:hAnsi="Arial Narrow"/>
          <w:bCs/>
          <w:iCs/>
        </w:rPr>
        <w:t>ELC</w:t>
      </w:r>
      <w:r w:rsidRPr="005F2C03">
        <w:rPr>
          <w:rFonts w:ascii="Arial Narrow" w:hAnsi="Arial Narrow"/>
          <w:bCs/>
          <w:iCs/>
        </w:rPr>
        <w:t xml:space="preserve"> realizó la revisión documental en la plataforma web del Ministerio de Comercio, Industria y Turismo, y de la Agencia Nacional de Contratación Pública – Colombia Compra Eficiente, referente a las pautas para determinar si la presente contratación se encuentra cubierta por algún acuerdo comercial vigente.</w:t>
      </w:r>
    </w:p>
    <w:p w14:paraId="1A5E76C8" w14:textId="77777777" w:rsidR="005F2C03" w:rsidRPr="005F2C03" w:rsidRDefault="005F2C03" w:rsidP="005F2C03">
      <w:pPr>
        <w:jc w:val="both"/>
        <w:rPr>
          <w:bCs/>
          <w:iCs/>
        </w:rPr>
      </w:pPr>
    </w:p>
    <w:p w14:paraId="34FFA867" w14:textId="77777777" w:rsidR="005F2C03" w:rsidRDefault="005F2C03" w:rsidP="005F2C03">
      <w:pPr>
        <w:tabs>
          <w:tab w:val="left" w:pos="9104"/>
        </w:tabs>
        <w:ind w:right="57"/>
        <w:jc w:val="both"/>
        <w:rPr>
          <w:bCs/>
          <w:lang w:eastAsia="es-CO"/>
        </w:rPr>
      </w:pPr>
      <w:r w:rsidRPr="005F2C03">
        <w:rPr>
          <w:bCs/>
          <w:lang w:eastAsia="es-CO"/>
        </w:rPr>
        <w:t>Realizada la revisión, se encuentra que de conformidad con el numeral 1.2. del Manual Explicativo V. 15 de Mayo de 2012, expedido por el Departamento Nacional de Planeación y el Ministerio de Industria y Comercio, que “Para que una determinada contratación pública esté cubierta bajo las obligaciones internacionales es necesario que (i) la entidad pública que realice la contratación se encuentre en los listados de entidades cubiertas, (</w:t>
      </w:r>
      <w:proofErr w:type="spellStart"/>
      <w:r w:rsidRPr="005F2C03">
        <w:rPr>
          <w:bCs/>
          <w:lang w:eastAsia="es-CO"/>
        </w:rPr>
        <w:t>ii</w:t>
      </w:r>
      <w:proofErr w:type="spellEnd"/>
      <w:r w:rsidRPr="005F2C03">
        <w:rPr>
          <w:bCs/>
          <w:lang w:eastAsia="es-CO"/>
        </w:rPr>
        <w:t>) que se superen los montos mínimos para que las normas de contratación pública del capítulo sean aplicables (los “Umbrales”), y (</w:t>
      </w:r>
      <w:proofErr w:type="spellStart"/>
      <w:r w:rsidRPr="005F2C03">
        <w:rPr>
          <w:bCs/>
          <w:lang w:eastAsia="es-CO"/>
        </w:rPr>
        <w:t>iii</w:t>
      </w:r>
      <w:proofErr w:type="spellEnd"/>
      <w:r w:rsidRPr="005F2C03">
        <w:rPr>
          <w:bCs/>
          <w:lang w:eastAsia="es-CO"/>
        </w:rPr>
        <w:t>) que la contratación no se encuentre cubierta bajo alguna exclusión de aplicabilidad o excepción.” Igualmente, se hizo la revisión y el análisis según las indicaciones realizadas en el Manual para el manejo de los acuerdos comerciales en Procesos de Contratación expedido por La Agencia Nacional de Contratación Pública – Colombia Compra Eficiente versión 1.0, así:</w:t>
      </w:r>
    </w:p>
    <w:p w14:paraId="4A94F3A1" w14:textId="77777777" w:rsidR="005F2C03" w:rsidRPr="005F2C03" w:rsidRDefault="005F2C03" w:rsidP="005F2C03">
      <w:pPr>
        <w:tabs>
          <w:tab w:val="left" w:pos="9104"/>
        </w:tabs>
        <w:ind w:right="57"/>
        <w:jc w:val="both"/>
        <w:rPr>
          <w:bCs/>
          <w:lang w:val="es-ES_tradnl" w:eastAsia="es-CO"/>
        </w:rPr>
      </w:pPr>
    </w:p>
    <w:tbl>
      <w:tblPr>
        <w:tblW w:w="5000" w:type="pct"/>
        <w:jc w:val="center"/>
        <w:tblCellMar>
          <w:left w:w="0" w:type="dxa"/>
          <w:right w:w="0" w:type="dxa"/>
        </w:tblCellMar>
        <w:tblLook w:val="04A0" w:firstRow="1" w:lastRow="0" w:firstColumn="1" w:lastColumn="0" w:noHBand="0" w:noVBand="1"/>
      </w:tblPr>
      <w:tblGrid>
        <w:gridCol w:w="1086"/>
        <w:gridCol w:w="1019"/>
        <w:gridCol w:w="1432"/>
        <w:gridCol w:w="1762"/>
        <w:gridCol w:w="1762"/>
        <w:gridCol w:w="1757"/>
      </w:tblGrid>
      <w:tr w:rsidR="005F2C03" w:rsidRPr="005F2C03" w14:paraId="116C63F8" w14:textId="77777777" w:rsidTr="005F2C03">
        <w:trPr>
          <w:tblHeader/>
          <w:jc w:val="center"/>
        </w:trPr>
        <w:tc>
          <w:tcPr>
            <w:tcW w:w="1194" w:type="pct"/>
            <w:gridSpan w:val="2"/>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4EEC57C6" w14:textId="77777777" w:rsidR="005F2C03" w:rsidRPr="005F2C03" w:rsidRDefault="005F2C03">
            <w:pPr>
              <w:spacing w:line="240" w:lineRule="atLeast"/>
              <w:jc w:val="center"/>
              <w:rPr>
                <w:sz w:val="16"/>
                <w:szCs w:val="16"/>
                <w:lang w:eastAsia="es-MX"/>
              </w:rPr>
            </w:pPr>
            <w:r w:rsidRPr="005F2C03">
              <w:rPr>
                <w:b/>
                <w:bCs/>
                <w:sz w:val="16"/>
                <w:szCs w:val="16"/>
              </w:rPr>
              <w:t>TRATADOS COMERCIALES</w:t>
            </w:r>
          </w:p>
        </w:tc>
        <w:tc>
          <w:tcPr>
            <w:tcW w:w="812"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5BF03765" w14:textId="77777777" w:rsidR="005F2C03" w:rsidRPr="005F2C03" w:rsidRDefault="005F2C03">
            <w:pPr>
              <w:spacing w:line="240" w:lineRule="atLeast"/>
              <w:jc w:val="center"/>
              <w:rPr>
                <w:sz w:val="16"/>
                <w:szCs w:val="16"/>
                <w:lang w:eastAsia="es-ES"/>
              </w:rPr>
            </w:pPr>
            <w:r w:rsidRPr="005F2C03">
              <w:rPr>
                <w:b/>
                <w:bCs/>
                <w:sz w:val="16"/>
                <w:szCs w:val="16"/>
              </w:rPr>
              <w:t>SE ENCUENTRA INCLUIDA EN LA COBERTURA DE CAPÍTULO DE COMPRAS PÚBLICAS</w:t>
            </w:r>
          </w:p>
        </w:tc>
        <w:tc>
          <w:tcPr>
            <w:tcW w:w="999"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98A102F" w14:textId="77777777" w:rsidR="005F2C03" w:rsidRPr="005F2C03" w:rsidRDefault="005F2C03">
            <w:pPr>
              <w:spacing w:line="240" w:lineRule="atLeast"/>
              <w:jc w:val="center"/>
              <w:rPr>
                <w:sz w:val="16"/>
                <w:szCs w:val="16"/>
              </w:rPr>
            </w:pPr>
            <w:r w:rsidRPr="005F2C03">
              <w:rPr>
                <w:b/>
                <w:bCs/>
                <w:sz w:val="16"/>
                <w:szCs w:val="16"/>
              </w:rPr>
              <w:t>PRESUPUESTO DEL PROCESO DE CONTRATACIÓN SUPERIOR AL VALOR DEL ACUERDO COMERCIAL*</w:t>
            </w:r>
          </w:p>
        </w:tc>
        <w:tc>
          <w:tcPr>
            <w:tcW w:w="999"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309BA388" w14:textId="77777777" w:rsidR="005F2C03" w:rsidRPr="005F2C03" w:rsidRDefault="005F2C03">
            <w:pPr>
              <w:spacing w:line="240" w:lineRule="atLeast"/>
              <w:jc w:val="center"/>
              <w:rPr>
                <w:sz w:val="16"/>
                <w:szCs w:val="16"/>
              </w:rPr>
            </w:pPr>
            <w:r w:rsidRPr="005F2C03">
              <w:rPr>
                <w:b/>
                <w:bCs/>
                <w:sz w:val="16"/>
                <w:szCs w:val="16"/>
              </w:rPr>
              <w:t>EXCEPCIÓN APLICABLE AL PROCESO DE CONTRATACIÓN</w:t>
            </w:r>
          </w:p>
        </w:tc>
        <w:tc>
          <w:tcPr>
            <w:tcW w:w="996" w:type="pct"/>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5DDD64AF" w14:textId="77777777" w:rsidR="005F2C03" w:rsidRPr="005F2C03" w:rsidRDefault="005F2C03">
            <w:pPr>
              <w:spacing w:line="240" w:lineRule="atLeast"/>
              <w:jc w:val="center"/>
              <w:rPr>
                <w:sz w:val="16"/>
                <w:szCs w:val="16"/>
              </w:rPr>
            </w:pPr>
            <w:r w:rsidRPr="005F2C03">
              <w:rPr>
                <w:b/>
                <w:bCs/>
                <w:sz w:val="16"/>
                <w:szCs w:val="16"/>
              </w:rPr>
              <w:t>PROCESO DE CONTRATACIÓN CUBIERTO POR EL ACUERDO COMERCIAL</w:t>
            </w:r>
          </w:p>
        </w:tc>
      </w:tr>
      <w:tr w:rsidR="005F2C03" w:rsidRPr="005F2C03" w14:paraId="62CC56EF" w14:textId="77777777" w:rsidTr="005F2C03">
        <w:trPr>
          <w:tblHeader/>
          <w:jc w:val="center"/>
        </w:trPr>
        <w:tc>
          <w:tcPr>
            <w:tcW w:w="616" w:type="pct"/>
            <w:vMerge w:val="restart"/>
            <w:tcBorders>
              <w:top w:val="nil"/>
              <w:left w:val="single" w:sz="8" w:space="0" w:color="000000"/>
              <w:bottom w:val="single" w:sz="8" w:space="0" w:color="000000"/>
              <w:right w:val="single" w:sz="8" w:space="0" w:color="auto"/>
            </w:tcBorders>
            <w:shd w:val="clear" w:color="auto" w:fill="DEEAF6" w:themeFill="accent1" w:themeFillTint="33"/>
            <w:tcMar>
              <w:top w:w="0" w:type="dxa"/>
              <w:left w:w="108" w:type="dxa"/>
              <w:bottom w:w="0" w:type="dxa"/>
              <w:right w:w="108" w:type="dxa"/>
            </w:tcMar>
            <w:hideMark/>
          </w:tcPr>
          <w:p w14:paraId="0643E522" w14:textId="77777777" w:rsidR="005F2C03" w:rsidRPr="005F2C03" w:rsidRDefault="005F2C03">
            <w:pPr>
              <w:spacing w:line="240" w:lineRule="atLeast"/>
              <w:rPr>
                <w:b/>
                <w:bCs/>
                <w:sz w:val="16"/>
                <w:szCs w:val="16"/>
              </w:rPr>
            </w:pPr>
            <w:r w:rsidRPr="005F2C03">
              <w:rPr>
                <w:b/>
                <w:bCs/>
                <w:sz w:val="16"/>
                <w:szCs w:val="16"/>
              </w:rPr>
              <w:t xml:space="preserve">Alianza Pacífico </w:t>
            </w:r>
          </w:p>
        </w:tc>
        <w:tc>
          <w:tcPr>
            <w:tcW w:w="578" w:type="pct"/>
            <w:tcBorders>
              <w:top w:val="nil"/>
              <w:left w:val="nil"/>
              <w:bottom w:val="single" w:sz="8" w:space="0" w:color="auto"/>
              <w:right w:val="single" w:sz="8" w:space="0" w:color="000000"/>
            </w:tcBorders>
            <w:shd w:val="clear" w:color="auto" w:fill="DEEAF6" w:themeFill="accent1" w:themeFillTint="33"/>
            <w:hideMark/>
          </w:tcPr>
          <w:p w14:paraId="75B9FA20" w14:textId="77777777" w:rsidR="005F2C03" w:rsidRPr="005F2C03" w:rsidRDefault="005F2C03">
            <w:pPr>
              <w:spacing w:line="240" w:lineRule="atLeast"/>
              <w:rPr>
                <w:b/>
                <w:bCs/>
                <w:sz w:val="16"/>
                <w:szCs w:val="16"/>
              </w:rPr>
            </w:pPr>
            <w:r w:rsidRPr="005F2C03">
              <w:rPr>
                <w:b/>
                <w:bCs/>
                <w:sz w:val="16"/>
                <w:szCs w:val="16"/>
              </w:rPr>
              <w:t xml:space="preserve">Chile </w:t>
            </w:r>
          </w:p>
        </w:tc>
        <w:tc>
          <w:tcPr>
            <w:tcW w:w="812"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7ABDA757"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58C9AF69"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4C5B4442"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64566E24"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2F51B4C6" w14:textId="77777777" w:rsidTr="005F2C03">
        <w:trPr>
          <w:tblHeader/>
          <w:jc w:val="center"/>
        </w:trPr>
        <w:tc>
          <w:tcPr>
            <w:tcW w:w="0" w:type="auto"/>
            <w:vMerge/>
            <w:tcBorders>
              <w:top w:val="nil"/>
              <w:left w:val="single" w:sz="8" w:space="0" w:color="000000"/>
              <w:bottom w:val="single" w:sz="8" w:space="0" w:color="000000"/>
              <w:right w:val="single" w:sz="8" w:space="0" w:color="auto"/>
            </w:tcBorders>
            <w:vAlign w:val="center"/>
            <w:hideMark/>
          </w:tcPr>
          <w:p w14:paraId="542FF254" w14:textId="77777777" w:rsidR="005F2C03" w:rsidRPr="005F2C03" w:rsidRDefault="005F2C03">
            <w:pPr>
              <w:rPr>
                <w:rFonts w:eastAsia="Times New Roman"/>
                <w:b/>
                <w:bCs/>
                <w:sz w:val="16"/>
                <w:szCs w:val="16"/>
                <w:lang w:eastAsia="es-ES"/>
              </w:rPr>
            </w:pPr>
          </w:p>
        </w:tc>
        <w:tc>
          <w:tcPr>
            <w:tcW w:w="578" w:type="pct"/>
            <w:tcBorders>
              <w:top w:val="nil"/>
              <w:left w:val="nil"/>
              <w:bottom w:val="single" w:sz="8" w:space="0" w:color="auto"/>
              <w:right w:val="single" w:sz="8" w:space="0" w:color="000000"/>
            </w:tcBorders>
            <w:shd w:val="clear" w:color="auto" w:fill="DEEAF6" w:themeFill="accent1" w:themeFillTint="33"/>
            <w:hideMark/>
          </w:tcPr>
          <w:p w14:paraId="4E7062BF" w14:textId="77777777" w:rsidR="005F2C03" w:rsidRPr="005F2C03" w:rsidRDefault="005F2C03">
            <w:pPr>
              <w:spacing w:line="240" w:lineRule="atLeast"/>
              <w:rPr>
                <w:b/>
                <w:bCs/>
                <w:sz w:val="16"/>
                <w:szCs w:val="16"/>
              </w:rPr>
            </w:pPr>
            <w:r w:rsidRPr="005F2C03">
              <w:rPr>
                <w:b/>
                <w:bCs/>
                <w:sz w:val="16"/>
                <w:szCs w:val="16"/>
              </w:rPr>
              <w:t xml:space="preserve">México </w:t>
            </w:r>
          </w:p>
        </w:tc>
        <w:tc>
          <w:tcPr>
            <w:tcW w:w="812"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4889183F"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4E740114"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535A2E16"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45A6E951"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5ED550FD" w14:textId="77777777" w:rsidTr="005F2C03">
        <w:trPr>
          <w:tblHeader/>
          <w:jc w:val="center"/>
        </w:trPr>
        <w:tc>
          <w:tcPr>
            <w:tcW w:w="0" w:type="auto"/>
            <w:vMerge/>
            <w:tcBorders>
              <w:top w:val="nil"/>
              <w:left w:val="single" w:sz="8" w:space="0" w:color="000000"/>
              <w:bottom w:val="single" w:sz="8" w:space="0" w:color="000000"/>
              <w:right w:val="single" w:sz="8" w:space="0" w:color="auto"/>
            </w:tcBorders>
            <w:vAlign w:val="center"/>
            <w:hideMark/>
          </w:tcPr>
          <w:p w14:paraId="6C90DC6E" w14:textId="77777777" w:rsidR="005F2C03" w:rsidRPr="005F2C03" w:rsidRDefault="005F2C03">
            <w:pPr>
              <w:rPr>
                <w:rFonts w:eastAsia="Times New Roman"/>
                <w:b/>
                <w:bCs/>
                <w:sz w:val="16"/>
                <w:szCs w:val="16"/>
                <w:lang w:eastAsia="es-ES"/>
              </w:rPr>
            </w:pPr>
          </w:p>
        </w:tc>
        <w:tc>
          <w:tcPr>
            <w:tcW w:w="578" w:type="pct"/>
            <w:tcBorders>
              <w:top w:val="nil"/>
              <w:left w:val="nil"/>
              <w:bottom w:val="single" w:sz="8" w:space="0" w:color="000000"/>
              <w:right w:val="single" w:sz="8" w:space="0" w:color="000000"/>
            </w:tcBorders>
            <w:shd w:val="clear" w:color="auto" w:fill="DEEAF6" w:themeFill="accent1" w:themeFillTint="33"/>
            <w:hideMark/>
          </w:tcPr>
          <w:p w14:paraId="0C655343" w14:textId="77777777" w:rsidR="005F2C03" w:rsidRPr="005F2C03" w:rsidRDefault="005F2C03">
            <w:pPr>
              <w:spacing w:line="240" w:lineRule="atLeast"/>
              <w:rPr>
                <w:b/>
                <w:bCs/>
                <w:sz w:val="16"/>
                <w:szCs w:val="16"/>
              </w:rPr>
            </w:pPr>
            <w:r w:rsidRPr="005F2C03">
              <w:rPr>
                <w:b/>
                <w:bCs/>
                <w:sz w:val="16"/>
                <w:szCs w:val="16"/>
              </w:rPr>
              <w:t>Perú</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37E903"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F2F05B"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FBABDA"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FC8709"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6E15FFE7"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3890E941" w14:textId="77777777" w:rsidR="005F2C03" w:rsidRPr="005F2C03" w:rsidRDefault="005F2C03">
            <w:pPr>
              <w:spacing w:line="240" w:lineRule="atLeast"/>
              <w:rPr>
                <w:b/>
                <w:bCs/>
                <w:sz w:val="16"/>
                <w:szCs w:val="16"/>
              </w:rPr>
            </w:pPr>
            <w:r w:rsidRPr="005F2C03">
              <w:rPr>
                <w:b/>
                <w:bCs/>
                <w:sz w:val="16"/>
                <w:szCs w:val="16"/>
              </w:rPr>
              <w:t>Canadá</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2A51394F"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0910453F"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503D488B"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5A14E159"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13576BF1"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5D072253" w14:textId="77777777" w:rsidR="005F2C03" w:rsidRPr="005F2C03" w:rsidRDefault="005F2C03">
            <w:pPr>
              <w:spacing w:line="240" w:lineRule="atLeast"/>
              <w:rPr>
                <w:b/>
                <w:bCs/>
                <w:sz w:val="16"/>
                <w:szCs w:val="16"/>
              </w:rPr>
            </w:pPr>
            <w:r w:rsidRPr="005F2C03">
              <w:rPr>
                <w:b/>
                <w:bCs/>
                <w:sz w:val="16"/>
                <w:szCs w:val="16"/>
              </w:rPr>
              <w:t>Chile</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75BCA915"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61AF9026"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2739F605"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759FED16" w14:textId="77777777" w:rsidR="005F2C03" w:rsidRPr="005F2C03" w:rsidRDefault="005F2C03">
            <w:pPr>
              <w:spacing w:line="240" w:lineRule="atLeast"/>
              <w:jc w:val="center"/>
              <w:rPr>
                <w:bCs/>
                <w:sz w:val="16"/>
                <w:szCs w:val="16"/>
                <w:lang w:eastAsia="es-CO"/>
              </w:rPr>
            </w:pPr>
            <w:r w:rsidRPr="005F2C03">
              <w:rPr>
                <w:sz w:val="16"/>
                <w:szCs w:val="16"/>
              </w:rPr>
              <w:t>N/A</w:t>
            </w:r>
          </w:p>
        </w:tc>
      </w:tr>
      <w:tr w:rsidR="005F2C03" w:rsidRPr="005F2C03" w14:paraId="0A405AF1"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1BD4B546" w14:textId="77777777" w:rsidR="005F2C03" w:rsidRPr="005F2C03" w:rsidRDefault="005F2C03">
            <w:pPr>
              <w:spacing w:line="240" w:lineRule="atLeast"/>
              <w:rPr>
                <w:b/>
                <w:bCs/>
                <w:sz w:val="16"/>
                <w:szCs w:val="16"/>
                <w:lang w:eastAsia="es-MX"/>
              </w:rPr>
            </w:pPr>
            <w:r w:rsidRPr="005F2C03">
              <w:rPr>
                <w:b/>
                <w:bCs/>
                <w:sz w:val="16"/>
                <w:szCs w:val="16"/>
              </w:rPr>
              <w:t>Corea</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4A3B0529" w14:textId="77777777" w:rsidR="005F2C03" w:rsidRPr="005F2C03" w:rsidRDefault="005F2C03">
            <w:pPr>
              <w:spacing w:line="240" w:lineRule="atLeast"/>
              <w:jc w:val="center"/>
              <w:rPr>
                <w:bCs/>
                <w:sz w:val="16"/>
                <w:szCs w:val="16"/>
                <w:lang w:eastAsia="es-ES"/>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5541E1B7"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5B7D11EE"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6825B93D"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05027F78"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61ED73BD" w14:textId="77777777" w:rsidR="005F2C03" w:rsidRPr="005F2C03" w:rsidRDefault="005F2C03">
            <w:pPr>
              <w:spacing w:line="240" w:lineRule="atLeast"/>
              <w:rPr>
                <w:b/>
                <w:bCs/>
                <w:sz w:val="16"/>
                <w:szCs w:val="16"/>
              </w:rPr>
            </w:pPr>
            <w:r w:rsidRPr="005F2C03">
              <w:rPr>
                <w:b/>
                <w:bCs/>
                <w:sz w:val="16"/>
                <w:szCs w:val="16"/>
              </w:rPr>
              <w:t>Costa Rica</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6D7E0F98"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182936AD"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00235974"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672B5902" w14:textId="77777777" w:rsidR="005F2C03" w:rsidRPr="005F2C03" w:rsidRDefault="005F2C03">
            <w:pPr>
              <w:spacing w:line="240" w:lineRule="atLeast"/>
              <w:jc w:val="center"/>
              <w:rPr>
                <w:bCs/>
                <w:sz w:val="16"/>
                <w:szCs w:val="16"/>
                <w:lang w:eastAsia="es-CO"/>
              </w:rPr>
            </w:pPr>
            <w:r w:rsidRPr="005F2C03">
              <w:rPr>
                <w:sz w:val="16"/>
                <w:szCs w:val="16"/>
              </w:rPr>
              <w:t>N/A</w:t>
            </w:r>
          </w:p>
        </w:tc>
      </w:tr>
      <w:tr w:rsidR="005F2C03" w:rsidRPr="005F2C03" w14:paraId="38B51F7A"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4BE0C302" w14:textId="77777777" w:rsidR="005F2C03" w:rsidRPr="005F2C03" w:rsidRDefault="005F2C03">
            <w:pPr>
              <w:spacing w:line="240" w:lineRule="atLeast"/>
              <w:rPr>
                <w:b/>
                <w:bCs/>
                <w:sz w:val="16"/>
                <w:szCs w:val="16"/>
                <w:lang w:eastAsia="es-MX"/>
              </w:rPr>
            </w:pPr>
            <w:r w:rsidRPr="005F2C03">
              <w:rPr>
                <w:b/>
                <w:bCs/>
                <w:sz w:val="16"/>
                <w:szCs w:val="16"/>
              </w:rPr>
              <w:t>Estados AELC</w:t>
            </w:r>
          </w:p>
        </w:tc>
        <w:tc>
          <w:tcPr>
            <w:tcW w:w="812"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08A60836" w14:textId="77777777" w:rsidR="005F2C03" w:rsidRPr="005F2C03" w:rsidRDefault="005F2C03">
            <w:pPr>
              <w:spacing w:line="240" w:lineRule="atLeast"/>
              <w:jc w:val="center"/>
              <w:rPr>
                <w:bCs/>
                <w:sz w:val="16"/>
                <w:szCs w:val="16"/>
                <w:lang w:eastAsia="es-ES"/>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6495A2FB"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5B9A6D32"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4E5BF439"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488C00D5"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17854CF6" w14:textId="77777777" w:rsidR="005F2C03" w:rsidRPr="005F2C03" w:rsidRDefault="005F2C03">
            <w:pPr>
              <w:spacing w:line="240" w:lineRule="atLeast"/>
              <w:rPr>
                <w:b/>
                <w:bCs/>
                <w:sz w:val="16"/>
                <w:szCs w:val="16"/>
              </w:rPr>
            </w:pPr>
            <w:r w:rsidRPr="005F2C03">
              <w:rPr>
                <w:b/>
                <w:bCs/>
                <w:sz w:val="16"/>
                <w:szCs w:val="16"/>
              </w:rPr>
              <w:t>Estados Unidos</w:t>
            </w:r>
          </w:p>
        </w:tc>
        <w:tc>
          <w:tcPr>
            <w:tcW w:w="812"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14:paraId="6FE63156"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6CFFA461"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26520C0F"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34A567CD" w14:textId="77777777" w:rsidR="005F2C03" w:rsidRPr="005F2C03" w:rsidRDefault="005F2C03">
            <w:pPr>
              <w:spacing w:line="240" w:lineRule="atLeast"/>
              <w:jc w:val="center"/>
              <w:rPr>
                <w:bCs/>
                <w:sz w:val="16"/>
                <w:szCs w:val="16"/>
                <w:lang w:eastAsia="es-CO"/>
              </w:rPr>
            </w:pPr>
            <w:r w:rsidRPr="005F2C03">
              <w:rPr>
                <w:sz w:val="16"/>
                <w:szCs w:val="16"/>
              </w:rPr>
              <w:t>N/A</w:t>
            </w:r>
          </w:p>
        </w:tc>
      </w:tr>
      <w:tr w:rsidR="005F2C03" w:rsidRPr="005F2C03" w14:paraId="60F57635"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3E08D1A8" w14:textId="77777777" w:rsidR="005F2C03" w:rsidRPr="005F2C03" w:rsidRDefault="005F2C03">
            <w:pPr>
              <w:spacing w:line="240" w:lineRule="atLeast"/>
              <w:rPr>
                <w:b/>
                <w:bCs/>
                <w:sz w:val="16"/>
                <w:szCs w:val="16"/>
                <w:lang w:eastAsia="es-MX"/>
              </w:rPr>
            </w:pPr>
            <w:r w:rsidRPr="005F2C03">
              <w:rPr>
                <w:b/>
                <w:bCs/>
                <w:sz w:val="16"/>
                <w:szCs w:val="16"/>
              </w:rPr>
              <w:t xml:space="preserve">México </w:t>
            </w:r>
          </w:p>
        </w:tc>
        <w:tc>
          <w:tcPr>
            <w:tcW w:w="81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5FF18B" w14:textId="77777777" w:rsidR="005F2C03" w:rsidRPr="005F2C03" w:rsidRDefault="005F2C03">
            <w:pPr>
              <w:spacing w:line="240" w:lineRule="atLeast"/>
              <w:jc w:val="center"/>
              <w:rPr>
                <w:bCs/>
                <w:sz w:val="16"/>
                <w:szCs w:val="16"/>
                <w:lang w:eastAsia="es-ES"/>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42C267B1"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3710D76E"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1C25608B"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22E283B4" w14:textId="77777777" w:rsidTr="005F2C03">
        <w:trPr>
          <w:jc w:val="center"/>
        </w:trPr>
        <w:tc>
          <w:tcPr>
            <w:tcW w:w="616" w:type="pct"/>
            <w:vMerge w:val="restart"/>
            <w:tcBorders>
              <w:top w:val="nil"/>
              <w:left w:val="single" w:sz="8" w:space="0" w:color="000000"/>
              <w:bottom w:val="single" w:sz="8" w:space="0" w:color="000000"/>
              <w:right w:val="single" w:sz="8" w:space="0" w:color="auto"/>
            </w:tcBorders>
            <w:shd w:val="clear" w:color="auto" w:fill="DEEAF6" w:themeFill="accent1" w:themeFillTint="33"/>
            <w:tcMar>
              <w:top w:w="0" w:type="dxa"/>
              <w:left w:w="108" w:type="dxa"/>
              <w:bottom w:w="0" w:type="dxa"/>
              <w:right w:w="108" w:type="dxa"/>
            </w:tcMar>
            <w:hideMark/>
          </w:tcPr>
          <w:p w14:paraId="43C4B48F" w14:textId="77777777" w:rsidR="005F2C03" w:rsidRPr="005F2C03" w:rsidRDefault="005F2C03">
            <w:pPr>
              <w:spacing w:line="240" w:lineRule="atLeast"/>
              <w:rPr>
                <w:b/>
                <w:bCs/>
                <w:sz w:val="16"/>
                <w:szCs w:val="16"/>
              </w:rPr>
            </w:pPr>
            <w:r w:rsidRPr="005F2C03">
              <w:rPr>
                <w:b/>
                <w:bCs/>
                <w:sz w:val="16"/>
                <w:szCs w:val="16"/>
              </w:rPr>
              <w:t xml:space="preserve">Triángulo Norte </w:t>
            </w:r>
          </w:p>
        </w:tc>
        <w:tc>
          <w:tcPr>
            <w:tcW w:w="578" w:type="pct"/>
            <w:tcBorders>
              <w:top w:val="nil"/>
              <w:left w:val="nil"/>
              <w:bottom w:val="single" w:sz="8" w:space="0" w:color="auto"/>
              <w:right w:val="single" w:sz="8" w:space="0" w:color="000000"/>
            </w:tcBorders>
            <w:shd w:val="clear" w:color="auto" w:fill="DEEAF6" w:themeFill="accent1" w:themeFillTint="33"/>
            <w:hideMark/>
          </w:tcPr>
          <w:p w14:paraId="6C4F9B9A" w14:textId="77777777" w:rsidR="005F2C03" w:rsidRPr="005F2C03" w:rsidRDefault="005F2C03">
            <w:pPr>
              <w:spacing w:line="240" w:lineRule="atLeast"/>
              <w:rPr>
                <w:b/>
                <w:bCs/>
                <w:sz w:val="16"/>
                <w:szCs w:val="16"/>
              </w:rPr>
            </w:pPr>
            <w:r w:rsidRPr="005F2C03">
              <w:rPr>
                <w:b/>
                <w:bCs/>
                <w:sz w:val="16"/>
                <w:szCs w:val="16"/>
              </w:rPr>
              <w:t xml:space="preserve">El Salvador </w:t>
            </w:r>
          </w:p>
        </w:tc>
        <w:tc>
          <w:tcPr>
            <w:tcW w:w="812" w:type="pct"/>
            <w:tcBorders>
              <w:top w:val="nil"/>
              <w:left w:val="nil"/>
              <w:bottom w:val="single" w:sz="8" w:space="0" w:color="auto"/>
              <w:right w:val="single" w:sz="8" w:space="0" w:color="000000"/>
            </w:tcBorders>
            <w:tcMar>
              <w:top w:w="0" w:type="dxa"/>
              <w:left w:w="108" w:type="dxa"/>
              <w:bottom w:w="0" w:type="dxa"/>
              <w:right w:w="108" w:type="dxa"/>
            </w:tcMar>
            <w:hideMark/>
          </w:tcPr>
          <w:p w14:paraId="451151FD"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tcMar>
              <w:top w:w="0" w:type="dxa"/>
              <w:left w:w="108" w:type="dxa"/>
              <w:bottom w:w="0" w:type="dxa"/>
              <w:right w:w="108" w:type="dxa"/>
            </w:tcMar>
            <w:hideMark/>
          </w:tcPr>
          <w:p w14:paraId="4483383E"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tcMar>
              <w:top w:w="0" w:type="dxa"/>
              <w:left w:w="108" w:type="dxa"/>
              <w:bottom w:w="0" w:type="dxa"/>
              <w:right w:w="108" w:type="dxa"/>
            </w:tcMar>
            <w:hideMark/>
          </w:tcPr>
          <w:p w14:paraId="79117A7C" w14:textId="77777777" w:rsidR="005F2C03" w:rsidRPr="005F2C03" w:rsidRDefault="005F2C03">
            <w:pPr>
              <w:spacing w:line="240" w:lineRule="atLeast"/>
              <w:jc w:val="center"/>
              <w:rPr>
                <w:bCs/>
                <w:sz w:val="16"/>
                <w:szCs w:val="16"/>
                <w:lang w:eastAsia="es-CO"/>
              </w:rPr>
            </w:pPr>
            <w:r w:rsidRPr="005F2C03">
              <w:rPr>
                <w:sz w:val="16"/>
                <w:szCs w:val="16"/>
              </w:rPr>
              <w:t>N/A</w:t>
            </w:r>
          </w:p>
        </w:tc>
        <w:tc>
          <w:tcPr>
            <w:tcW w:w="996" w:type="pct"/>
            <w:tcBorders>
              <w:top w:val="nil"/>
              <w:left w:val="nil"/>
              <w:bottom w:val="single" w:sz="8" w:space="0" w:color="auto"/>
              <w:right w:val="single" w:sz="8" w:space="0" w:color="000000"/>
            </w:tcBorders>
            <w:tcMar>
              <w:top w:w="0" w:type="dxa"/>
              <w:left w:w="108" w:type="dxa"/>
              <w:bottom w:w="0" w:type="dxa"/>
              <w:right w:w="108" w:type="dxa"/>
            </w:tcMar>
            <w:hideMark/>
          </w:tcPr>
          <w:p w14:paraId="2E94F0B1" w14:textId="77777777" w:rsidR="005F2C03" w:rsidRPr="005F2C03" w:rsidRDefault="005F2C03">
            <w:pPr>
              <w:spacing w:line="240" w:lineRule="atLeast"/>
              <w:jc w:val="center"/>
              <w:rPr>
                <w:bCs/>
                <w:sz w:val="16"/>
                <w:szCs w:val="16"/>
                <w:lang w:eastAsia="es-MX"/>
              </w:rPr>
            </w:pPr>
            <w:r w:rsidRPr="005F2C03">
              <w:rPr>
                <w:sz w:val="16"/>
                <w:szCs w:val="16"/>
              </w:rPr>
              <w:t>N/A</w:t>
            </w:r>
          </w:p>
        </w:tc>
      </w:tr>
      <w:tr w:rsidR="005F2C03" w:rsidRPr="005F2C03" w14:paraId="4AD6FB20" w14:textId="77777777" w:rsidTr="005F2C03">
        <w:trPr>
          <w:jc w:val="center"/>
        </w:trPr>
        <w:tc>
          <w:tcPr>
            <w:tcW w:w="0" w:type="auto"/>
            <w:vMerge/>
            <w:tcBorders>
              <w:top w:val="nil"/>
              <w:left w:val="single" w:sz="8" w:space="0" w:color="000000"/>
              <w:bottom w:val="single" w:sz="8" w:space="0" w:color="000000"/>
              <w:right w:val="single" w:sz="8" w:space="0" w:color="auto"/>
            </w:tcBorders>
            <w:vAlign w:val="center"/>
            <w:hideMark/>
          </w:tcPr>
          <w:p w14:paraId="66E35C37" w14:textId="77777777" w:rsidR="005F2C03" w:rsidRPr="005F2C03" w:rsidRDefault="005F2C03">
            <w:pPr>
              <w:rPr>
                <w:rFonts w:eastAsia="Times New Roman"/>
                <w:b/>
                <w:bCs/>
                <w:sz w:val="16"/>
                <w:szCs w:val="16"/>
                <w:lang w:eastAsia="es-ES"/>
              </w:rPr>
            </w:pPr>
          </w:p>
        </w:tc>
        <w:tc>
          <w:tcPr>
            <w:tcW w:w="578" w:type="pct"/>
            <w:tcBorders>
              <w:top w:val="nil"/>
              <w:left w:val="nil"/>
              <w:bottom w:val="single" w:sz="8" w:space="0" w:color="auto"/>
              <w:right w:val="single" w:sz="8" w:space="0" w:color="000000"/>
            </w:tcBorders>
            <w:shd w:val="clear" w:color="auto" w:fill="DEEAF6" w:themeFill="accent1" w:themeFillTint="33"/>
            <w:hideMark/>
          </w:tcPr>
          <w:p w14:paraId="3B55A34A" w14:textId="77777777" w:rsidR="005F2C03" w:rsidRPr="005F2C03" w:rsidRDefault="005F2C03">
            <w:pPr>
              <w:spacing w:line="240" w:lineRule="atLeast"/>
              <w:rPr>
                <w:b/>
                <w:bCs/>
                <w:sz w:val="16"/>
                <w:szCs w:val="16"/>
                <w:lang w:eastAsia="es-ES"/>
              </w:rPr>
            </w:pPr>
            <w:r w:rsidRPr="005F2C03">
              <w:rPr>
                <w:b/>
                <w:bCs/>
                <w:sz w:val="16"/>
                <w:szCs w:val="16"/>
              </w:rPr>
              <w:t xml:space="preserve">Guatemala </w:t>
            </w:r>
          </w:p>
        </w:tc>
        <w:tc>
          <w:tcPr>
            <w:tcW w:w="812" w:type="pct"/>
            <w:tcBorders>
              <w:top w:val="nil"/>
              <w:left w:val="nil"/>
              <w:bottom w:val="single" w:sz="8" w:space="0" w:color="auto"/>
              <w:right w:val="single" w:sz="8" w:space="0" w:color="000000"/>
            </w:tcBorders>
            <w:tcMar>
              <w:top w:w="0" w:type="dxa"/>
              <w:left w:w="108" w:type="dxa"/>
              <w:bottom w:w="0" w:type="dxa"/>
              <w:right w:w="108" w:type="dxa"/>
            </w:tcMar>
            <w:hideMark/>
          </w:tcPr>
          <w:p w14:paraId="5F662AA4"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tcMar>
              <w:top w:w="0" w:type="dxa"/>
              <w:left w:w="108" w:type="dxa"/>
              <w:bottom w:w="0" w:type="dxa"/>
              <w:right w:w="108" w:type="dxa"/>
            </w:tcMar>
            <w:hideMark/>
          </w:tcPr>
          <w:p w14:paraId="6D7ED0D5"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auto"/>
              <w:right w:val="single" w:sz="8" w:space="0" w:color="000000"/>
            </w:tcBorders>
            <w:tcMar>
              <w:top w:w="0" w:type="dxa"/>
              <w:left w:w="108" w:type="dxa"/>
              <w:bottom w:w="0" w:type="dxa"/>
              <w:right w:w="108" w:type="dxa"/>
            </w:tcMar>
            <w:hideMark/>
          </w:tcPr>
          <w:p w14:paraId="351E73DD" w14:textId="77777777" w:rsidR="005F2C03" w:rsidRPr="005F2C03" w:rsidRDefault="005F2C03">
            <w:pPr>
              <w:spacing w:line="240" w:lineRule="atLeast"/>
              <w:jc w:val="center"/>
              <w:rPr>
                <w:bCs/>
                <w:sz w:val="16"/>
                <w:szCs w:val="16"/>
                <w:lang w:eastAsia="es-CO"/>
              </w:rPr>
            </w:pPr>
            <w:r w:rsidRPr="005F2C03">
              <w:rPr>
                <w:sz w:val="16"/>
                <w:szCs w:val="16"/>
              </w:rPr>
              <w:t>N/A</w:t>
            </w:r>
          </w:p>
        </w:tc>
        <w:tc>
          <w:tcPr>
            <w:tcW w:w="996" w:type="pct"/>
            <w:tcBorders>
              <w:top w:val="nil"/>
              <w:left w:val="nil"/>
              <w:bottom w:val="single" w:sz="8" w:space="0" w:color="auto"/>
              <w:right w:val="single" w:sz="8" w:space="0" w:color="000000"/>
            </w:tcBorders>
            <w:tcMar>
              <w:top w:w="0" w:type="dxa"/>
              <w:left w:w="108" w:type="dxa"/>
              <w:bottom w:w="0" w:type="dxa"/>
              <w:right w:w="108" w:type="dxa"/>
            </w:tcMar>
            <w:hideMark/>
          </w:tcPr>
          <w:p w14:paraId="6C4FC21E" w14:textId="77777777" w:rsidR="005F2C03" w:rsidRPr="005F2C03" w:rsidRDefault="005F2C03">
            <w:pPr>
              <w:spacing w:line="240" w:lineRule="atLeast"/>
              <w:jc w:val="center"/>
              <w:rPr>
                <w:bCs/>
                <w:sz w:val="16"/>
                <w:szCs w:val="16"/>
                <w:lang w:eastAsia="es-MX"/>
              </w:rPr>
            </w:pPr>
            <w:r w:rsidRPr="005F2C03">
              <w:rPr>
                <w:sz w:val="16"/>
                <w:szCs w:val="16"/>
              </w:rPr>
              <w:t>N/A</w:t>
            </w:r>
          </w:p>
        </w:tc>
      </w:tr>
      <w:tr w:rsidR="005F2C03" w:rsidRPr="005F2C03" w14:paraId="6C425FC5" w14:textId="77777777" w:rsidTr="005F2C03">
        <w:trPr>
          <w:jc w:val="center"/>
        </w:trPr>
        <w:tc>
          <w:tcPr>
            <w:tcW w:w="0" w:type="auto"/>
            <w:vMerge/>
            <w:tcBorders>
              <w:top w:val="nil"/>
              <w:left w:val="single" w:sz="8" w:space="0" w:color="000000"/>
              <w:bottom w:val="single" w:sz="8" w:space="0" w:color="000000"/>
              <w:right w:val="single" w:sz="8" w:space="0" w:color="auto"/>
            </w:tcBorders>
            <w:vAlign w:val="center"/>
            <w:hideMark/>
          </w:tcPr>
          <w:p w14:paraId="346CC8C7" w14:textId="77777777" w:rsidR="005F2C03" w:rsidRPr="005F2C03" w:rsidRDefault="005F2C03">
            <w:pPr>
              <w:rPr>
                <w:rFonts w:eastAsia="Times New Roman"/>
                <w:b/>
                <w:bCs/>
                <w:sz w:val="16"/>
                <w:szCs w:val="16"/>
                <w:lang w:eastAsia="es-ES"/>
              </w:rPr>
            </w:pPr>
          </w:p>
        </w:tc>
        <w:tc>
          <w:tcPr>
            <w:tcW w:w="578" w:type="pct"/>
            <w:tcBorders>
              <w:top w:val="nil"/>
              <w:left w:val="nil"/>
              <w:bottom w:val="single" w:sz="8" w:space="0" w:color="000000"/>
              <w:right w:val="single" w:sz="8" w:space="0" w:color="000000"/>
            </w:tcBorders>
            <w:shd w:val="clear" w:color="auto" w:fill="DEEAF6" w:themeFill="accent1" w:themeFillTint="33"/>
            <w:hideMark/>
          </w:tcPr>
          <w:p w14:paraId="4C5F3F14" w14:textId="77777777" w:rsidR="005F2C03" w:rsidRPr="005F2C03" w:rsidRDefault="005F2C03">
            <w:pPr>
              <w:spacing w:line="240" w:lineRule="atLeast"/>
              <w:rPr>
                <w:b/>
                <w:bCs/>
                <w:sz w:val="16"/>
                <w:szCs w:val="16"/>
                <w:lang w:eastAsia="es-ES"/>
              </w:rPr>
            </w:pPr>
            <w:r w:rsidRPr="005F2C03">
              <w:rPr>
                <w:b/>
                <w:bCs/>
                <w:sz w:val="16"/>
                <w:szCs w:val="16"/>
              </w:rPr>
              <w:t xml:space="preserve">Honduras </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7D03B25C"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11DE7A4C"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1F06674A" w14:textId="77777777" w:rsidR="005F2C03" w:rsidRPr="005F2C03" w:rsidRDefault="005F2C03">
            <w:pPr>
              <w:spacing w:line="240" w:lineRule="atLeast"/>
              <w:jc w:val="center"/>
              <w:rPr>
                <w:bCs/>
                <w:sz w:val="16"/>
                <w:szCs w:val="16"/>
                <w:lang w:eastAsia="es-CO"/>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53B545C4" w14:textId="77777777" w:rsidR="005F2C03" w:rsidRPr="005F2C03" w:rsidRDefault="005F2C03">
            <w:pPr>
              <w:spacing w:line="240" w:lineRule="atLeast"/>
              <w:jc w:val="center"/>
              <w:rPr>
                <w:bCs/>
                <w:sz w:val="16"/>
                <w:szCs w:val="16"/>
                <w:lang w:eastAsia="es-MX"/>
              </w:rPr>
            </w:pPr>
            <w:r w:rsidRPr="005F2C03">
              <w:rPr>
                <w:sz w:val="16"/>
                <w:szCs w:val="16"/>
              </w:rPr>
              <w:t>N/A</w:t>
            </w:r>
          </w:p>
        </w:tc>
      </w:tr>
      <w:tr w:rsidR="005F2C03" w:rsidRPr="005F2C03" w14:paraId="43ADE01D"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4960F42A" w14:textId="77777777" w:rsidR="005F2C03" w:rsidRPr="005F2C03" w:rsidRDefault="005F2C03">
            <w:pPr>
              <w:spacing w:line="240" w:lineRule="atLeast"/>
              <w:rPr>
                <w:b/>
                <w:bCs/>
                <w:sz w:val="16"/>
                <w:szCs w:val="16"/>
                <w:lang w:eastAsia="es-ES"/>
              </w:rPr>
            </w:pPr>
            <w:r w:rsidRPr="005F2C03">
              <w:rPr>
                <w:b/>
                <w:bCs/>
                <w:sz w:val="16"/>
                <w:szCs w:val="16"/>
              </w:rPr>
              <w:t>Unión Europea</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2783C2CE"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04D5209F"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7F5127AF"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676C600E" w14:textId="77777777" w:rsidR="005F2C03" w:rsidRPr="005F2C03" w:rsidRDefault="005F2C03">
            <w:pPr>
              <w:spacing w:line="240" w:lineRule="atLeast"/>
              <w:jc w:val="center"/>
              <w:rPr>
                <w:bCs/>
                <w:sz w:val="16"/>
                <w:szCs w:val="16"/>
                <w:lang w:eastAsia="es-CO"/>
              </w:rPr>
            </w:pPr>
            <w:r w:rsidRPr="005F2C03">
              <w:rPr>
                <w:sz w:val="16"/>
                <w:szCs w:val="16"/>
              </w:rPr>
              <w:t>N/A</w:t>
            </w:r>
          </w:p>
        </w:tc>
      </w:tr>
      <w:tr w:rsidR="005F2C03" w:rsidRPr="005F2C03" w14:paraId="31CACAD4"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007B8903" w14:textId="77777777" w:rsidR="005F2C03" w:rsidRPr="005F2C03" w:rsidRDefault="005F2C03">
            <w:pPr>
              <w:spacing w:line="240" w:lineRule="atLeast"/>
              <w:rPr>
                <w:b/>
                <w:bCs/>
                <w:sz w:val="16"/>
                <w:szCs w:val="16"/>
                <w:lang w:eastAsia="es-MX"/>
              </w:rPr>
            </w:pPr>
            <w:r w:rsidRPr="005F2C03">
              <w:rPr>
                <w:b/>
                <w:bCs/>
                <w:sz w:val="16"/>
                <w:szCs w:val="16"/>
              </w:rPr>
              <w:t>Israel</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1E43EEB7" w14:textId="77777777" w:rsidR="005F2C03" w:rsidRPr="005F2C03" w:rsidRDefault="005F2C03">
            <w:pPr>
              <w:spacing w:line="240" w:lineRule="atLeast"/>
              <w:jc w:val="center"/>
              <w:rPr>
                <w:bCs/>
                <w:sz w:val="16"/>
                <w:szCs w:val="16"/>
                <w:lang w:eastAsia="es-ES"/>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2F29A5EB"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6BCEF9A1"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7E4B8218"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54429384"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4BD40773" w14:textId="77777777" w:rsidR="005F2C03" w:rsidRPr="005F2C03" w:rsidRDefault="005F2C03">
            <w:pPr>
              <w:spacing w:line="240" w:lineRule="atLeast"/>
              <w:rPr>
                <w:b/>
                <w:bCs/>
                <w:sz w:val="16"/>
                <w:szCs w:val="16"/>
              </w:rPr>
            </w:pPr>
            <w:r w:rsidRPr="005F2C03">
              <w:rPr>
                <w:b/>
                <w:bCs/>
                <w:sz w:val="16"/>
                <w:szCs w:val="16"/>
              </w:rPr>
              <w:t>Reino Unido e Irlanda del Norte</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202E97DA"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36844E34"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0CB8E9B9"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2CEB26F7" w14:textId="77777777" w:rsidR="005F2C03" w:rsidRPr="005F2C03" w:rsidRDefault="005F2C03">
            <w:pPr>
              <w:spacing w:line="240" w:lineRule="atLeast"/>
              <w:jc w:val="center"/>
              <w:rPr>
                <w:bCs/>
                <w:sz w:val="16"/>
                <w:szCs w:val="16"/>
              </w:rPr>
            </w:pPr>
            <w:r w:rsidRPr="005F2C03">
              <w:rPr>
                <w:sz w:val="16"/>
                <w:szCs w:val="16"/>
              </w:rPr>
              <w:t>N/A</w:t>
            </w:r>
          </w:p>
        </w:tc>
      </w:tr>
      <w:tr w:rsidR="005F2C03" w:rsidRPr="005F2C03" w14:paraId="379177EC" w14:textId="77777777" w:rsidTr="005F2C03">
        <w:trPr>
          <w:jc w:val="center"/>
        </w:trPr>
        <w:tc>
          <w:tcPr>
            <w:tcW w:w="1194" w:type="pct"/>
            <w:gridSpan w:val="2"/>
            <w:tcBorders>
              <w:top w:val="nil"/>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19221B3A" w14:textId="77777777" w:rsidR="005F2C03" w:rsidRPr="005F2C03" w:rsidRDefault="005F2C03">
            <w:pPr>
              <w:spacing w:line="240" w:lineRule="atLeast"/>
              <w:rPr>
                <w:b/>
                <w:bCs/>
                <w:sz w:val="16"/>
                <w:szCs w:val="16"/>
              </w:rPr>
            </w:pPr>
            <w:r w:rsidRPr="005F2C03">
              <w:rPr>
                <w:b/>
                <w:bCs/>
                <w:sz w:val="16"/>
                <w:szCs w:val="16"/>
              </w:rPr>
              <w:t xml:space="preserve">Servicios prestados por oferentes de la Comunidad Andina de Naciones </w:t>
            </w:r>
          </w:p>
        </w:tc>
        <w:tc>
          <w:tcPr>
            <w:tcW w:w="812" w:type="pct"/>
            <w:tcBorders>
              <w:top w:val="nil"/>
              <w:left w:val="nil"/>
              <w:bottom w:val="single" w:sz="8" w:space="0" w:color="000000"/>
              <w:right w:val="single" w:sz="8" w:space="0" w:color="000000"/>
            </w:tcBorders>
            <w:tcMar>
              <w:top w:w="0" w:type="dxa"/>
              <w:left w:w="108" w:type="dxa"/>
              <w:bottom w:w="0" w:type="dxa"/>
              <w:right w:w="108" w:type="dxa"/>
            </w:tcMar>
            <w:hideMark/>
          </w:tcPr>
          <w:p w14:paraId="4C7B459A" w14:textId="77777777" w:rsidR="005F2C03" w:rsidRPr="005F2C03" w:rsidRDefault="005F2C03">
            <w:pPr>
              <w:spacing w:line="240" w:lineRule="atLeast"/>
              <w:jc w:val="center"/>
              <w:rPr>
                <w:bCs/>
                <w:sz w:val="16"/>
                <w:szCs w:val="16"/>
              </w:rPr>
            </w:pPr>
            <w:r w:rsidRPr="005F2C03">
              <w:rPr>
                <w:bCs/>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302A145D" w14:textId="77777777" w:rsidR="005F2C03" w:rsidRPr="005F2C03" w:rsidRDefault="005F2C03">
            <w:pPr>
              <w:spacing w:line="240" w:lineRule="atLeast"/>
              <w:jc w:val="center"/>
              <w:rPr>
                <w:bCs/>
                <w:sz w:val="16"/>
                <w:szCs w:val="16"/>
              </w:rPr>
            </w:pPr>
            <w:r w:rsidRPr="005F2C03">
              <w:rPr>
                <w:sz w:val="16"/>
                <w:szCs w:val="16"/>
              </w:rPr>
              <w:t>N/A</w:t>
            </w:r>
          </w:p>
        </w:tc>
        <w:tc>
          <w:tcPr>
            <w:tcW w:w="999" w:type="pct"/>
            <w:tcBorders>
              <w:top w:val="nil"/>
              <w:left w:val="nil"/>
              <w:bottom w:val="single" w:sz="8" w:space="0" w:color="000000"/>
              <w:right w:val="single" w:sz="8" w:space="0" w:color="000000"/>
            </w:tcBorders>
            <w:tcMar>
              <w:top w:w="0" w:type="dxa"/>
              <w:left w:w="108" w:type="dxa"/>
              <w:bottom w:w="0" w:type="dxa"/>
              <w:right w:w="108" w:type="dxa"/>
            </w:tcMar>
            <w:hideMark/>
          </w:tcPr>
          <w:p w14:paraId="595C1172" w14:textId="77777777" w:rsidR="005F2C03" w:rsidRPr="005F2C03" w:rsidRDefault="005F2C03">
            <w:pPr>
              <w:spacing w:line="240" w:lineRule="atLeast"/>
              <w:jc w:val="center"/>
              <w:rPr>
                <w:bCs/>
                <w:sz w:val="16"/>
                <w:szCs w:val="16"/>
              </w:rPr>
            </w:pPr>
            <w:r w:rsidRPr="005F2C03">
              <w:rPr>
                <w:sz w:val="16"/>
                <w:szCs w:val="16"/>
              </w:rPr>
              <w:t>N/A</w:t>
            </w:r>
          </w:p>
        </w:tc>
        <w:tc>
          <w:tcPr>
            <w:tcW w:w="996" w:type="pct"/>
            <w:tcBorders>
              <w:top w:val="nil"/>
              <w:left w:val="nil"/>
              <w:bottom w:val="single" w:sz="8" w:space="0" w:color="000000"/>
              <w:right w:val="single" w:sz="8" w:space="0" w:color="000000"/>
            </w:tcBorders>
            <w:tcMar>
              <w:top w:w="0" w:type="dxa"/>
              <w:left w:w="108" w:type="dxa"/>
              <w:bottom w:w="0" w:type="dxa"/>
              <w:right w:w="108" w:type="dxa"/>
            </w:tcMar>
            <w:hideMark/>
          </w:tcPr>
          <w:p w14:paraId="3C161E34" w14:textId="77777777" w:rsidR="005F2C03" w:rsidRPr="005F2C03" w:rsidRDefault="005F2C03">
            <w:pPr>
              <w:spacing w:line="240" w:lineRule="atLeast"/>
              <w:jc w:val="center"/>
              <w:rPr>
                <w:bCs/>
                <w:sz w:val="16"/>
                <w:szCs w:val="16"/>
              </w:rPr>
            </w:pPr>
            <w:r w:rsidRPr="005F2C03">
              <w:rPr>
                <w:sz w:val="16"/>
                <w:szCs w:val="16"/>
              </w:rPr>
              <w:t>N/A</w:t>
            </w:r>
          </w:p>
        </w:tc>
      </w:tr>
    </w:tbl>
    <w:p w14:paraId="62B27A10" w14:textId="77777777" w:rsidR="005F2C03" w:rsidRPr="005F2C03" w:rsidRDefault="005F2C03" w:rsidP="005F2C03">
      <w:pPr>
        <w:ind w:firstLine="102"/>
        <w:jc w:val="center"/>
        <w:rPr>
          <w:rFonts w:eastAsia="Times New Roman"/>
          <w:bCs/>
          <w:sz w:val="16"/>
          <w:szCs w:val="16"/>
          <w:lang w:eastAsia="es-CO"/>
        </w:rPr>
      </w:pPr>
      <w:r w:rsidRPr="005F2C03">
        <w:rPr>
          <w:bCs/>
          <w:sz w:val="16"/>
          <w:szCs w:val="16"/>
          <w:lang w:eastAsia="es-CO"/>
        </w:rPr>
        <w:t>Tabla Análisis aplicabilidad de los Acuerdos Comerciales</w:t>
      </w:r>
    </w:p>
    <w:p w14:paraId="7401B624" w14:textId="77777777" w:rsidR="005F2C03" w:rsidRPr="005F2C03" w:rsidRDefault="005F2C03" w:rsidP="005F2C03">
      <w:pPr>
        <w:ind w:firstLine="102"/>
        <w:jc w:val="center"/>
        <w:rPr>
          <w:bCs/>
          <w:sz w:val="16"/>
          <w:szCs w:val="16"/>
          <w:lang w:val="es-ES_tradnl" w:eastAsia="es-CO"/>
        </w:rPr>
      </w:pPr>
    </w:p>
    <w:p w14:paraId="00B5665D" w14:textId="77777777" w:rsidR="005F2C03" w:rsidRPr="005F2C03" w:rsidRDefault="005F2C03" w:rsidP="005F2C03">
      <w:pPr>
        <w:tabs>
          <w:tab w:val="left" w:pos="0"/>
        </w:tabs>
        <w:spacing w:line="240" w:lineRule="atLeast"/>
        <w:jc w:val="both"/>
        <w:rPr>
          <w:lang w:eastAsia="es-ES"/>
        </w:rPr>
      </w:pPr>
      <w:r w:rsidRPr="005F2C03">
        <w:rPr>
          <w:bCs/>
          <w:lang w:eastAsia="es-CO"/>
        </w:rPr>
        <w:t>Es necesario aclarar que a</w:t>
      </w:r>
      <w:r w:rsidRPr="005F2C03">
        <w:t>l presente proceso no le aplican los tratados indicados en el cuadro anterior, de acuerdo con el Anexo 4, numeral 8 “Servicios Financieros” del Manual para el manejo de los Acuerdos Comerciales en Procesos de Contratación (</w:t>
      </w:r>
      <w:r w:rsidRPr="005F2C03">
        <w:rPr>
          <w:bCs/>
          <w:lang w:eastAsia="es-CO"/>
        </w:rPr>
        <w:t>CCE-EICP-MA-03</w:t>
      </w:r>
      <w:r w:rsidRPr="005F2C03">
        <w:t>) expedido por Colombia Compra Eficiente, puesto que los seguros se equiparan a servicios financieros para los cuales es necesario ser una sociedad comercial constituida en Colombia y contar con la autorización de la Superintendencia Financiera de Colombia, tal y como lo establece el Decreto 663 de 1993 , Capitulo XI, Articulo 39, modificado por el artículo 61 de la ley 1328 de 2009, el cual en su momento actualizó el Estatuto Orgánico del Sistema Financiero, especifico en el artículo 39 lo siguiente:</w:t>
      </w:r>
    </w:p>
    <w:p w14:paraId="4A24A4D3" w14:textId="77777777" w:rsidR="005F2C03" w:rsidRPr="005F2C03" w:rsidRDefault="005F2C03" w:rsidP="005F2C03">
      <w:pPr>
        <w:tabs>
          <w:tab w:val="left" w:pos="0"/>
        </w:tabs>
        <w:spacing w:line="240" w:lineRule="atLeast"/>
        <w:jc w:val="both"/>
      </w:pPr>
    </w:p>
    <w:p w14:paraId="7AD3FE7A" w14:textId="77777777" w:rsidR="005F2C03" w:rsidRPr="005F2C03" w:rsidRDefault="005F2C03" w:rsidP="005F2C03">
      <w:pPr>
        <w:pStyle w:val="NormalWeb"/>
        <w:spacing w:before="0" w:beforeAutospacing="0" w:after="0"/>
        <w:jc w:val="both"/>
        <w:rPr>
          <w:rFonts w:ascii="Arial Narrow" w:hAnsi="Arial Narrow" w:cs="Arial"/>
          <w:szCs w:val="22"/>
          <w:lang w:val="es-ES_tradnl"/>
        </w:rPr>
      </w:pPr>
      <w:r w:rsidRPr="005F2C03">
        <w:rPr>
          <w:rFonts w:ascii="Arial Narrow" w:hAnsi="Arial Narrow" w:cs="Arial"/>
          <w:i w:val="0"/>
          <w:iCs w:val="0"/>
          <w:szCs w:val="22"/>
          <w:lang w:val="es-ES_tradnl"/>
        </w:rPr>
        <w:t xml:space="preserve">“ARTICULO 39. PERSONAS NO AUTORIZADAS. Queda prohibido celebrar en el territorio nacional operaciones de seguros con entidades extranjeras no autorizadas para desarrollar la actividad aseguradora en Colombia o hacerlo con agentes o representantes que trabajen para las mismas. </w:t>
      </w:r>
    </w:p>
    <w:p w14:paraId="0FD5D477"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Las personas naturales o jurídicas que contravengan lo dispuesto en el presente artículo quedarán sujetas a las sanciones previstas en los artículos 209 y 211 del presente Estatuto.”</w:t>
      </w:r>
    </w:p>
    <w:p w14:paraId="7857D095" w14:textId="77777777" w:rsidR="005F2C03" w:rsidRPr="005F2C03" w:rsidRDefault="005F2C03" w:rsidP="005F2C03">
      <w:pPr>
        <w:tabs>
          <w:tab w:val="left" w:pos="0"/>
        </w:tabs>
        <w:spacing w:line="240" w:lineRule="atLeast"/>
        <w:jc w:val="both"/>
        <w:rPr>
          <w:rFonts w:cs="Times New Roman"/>
        </w:rPr>
      </w:pPr>
      <w:r w:rsidRPr="005F2C03">
        <w:t>Analizado el artículo antes referenciado, se certifica que el presente proceso no se encuentra cubierto por los acuerdos comerciales</w:t>
      </w:r>
      <w:r w:rsidRPr="005F2C03">
        <w:rPr>
          <w:rStyle w:val="Refdenotaalpie"/>
        </w:rPr>
        <w:footnoteReference w:id="16"/>
      </w:r>
      <w:r w:rsidRPr="005F2C03">
        <w:t>.</w:t>
      </w:r>
    </w:p>
    <w:p w14:paraId="5BE9E59B" w14:textId="77777777" w:rsidR="005F2C03" w:rsidRPr="005F2C03" w:rsidRDefault="005F2C03" w:rsidP="005F2C03">
      <w:pPr>
        <w:tabs>
          <w:tab w:val="left" w:pos="0"/>
        </w:tabs>
        <w:spacing w:line="240" w:lineRule="atLeast"/>
        <w:jc w:val="both"/>
        <w:rPr>
          <w:lang w:val="es-ES_tradnl"/>
        </w:rPr>
      </w:pPr>
    </w:p>
    <w:p w14:paraId="371A405A" w14:textId="77777777" w:rsidR="005F2C03" w:rsidRPr="005F2C03" w:rsidRDefault="005F2C03" w:rsidP="005F2C03">
      <w:pPr>
        <w:pStyle w:val="NormalWeb"/>
        <w:spacing w:before="0" w:beforeAutospacing="0" w:after="0"/>
        <w:jc w:val="both"/>
        <w:rPr>
          <w:rFonts w:ascii="Arial Narrow" w:hAnsi="Arial Narrow" w:cs="Arial"/>
          <w:szCs w:val="22"/>
          <w:lang w:val="es-ES_tradnl"/>
        </w:rPr>
      </w:pPr>
      <w:r w:rsidRPr="005F2C03">
        <w:rPr>
          <w:rFonts w:ascii="Arial Narrow" w:hAnsi="Arial Narrow" w:cs="Arial"/>
          <w:szCs w:val="22"/>
          <w:lang w:val="es-ES_tradnl"/>
        </w:rPr>
        <w:t xml:space="preserve">Adicionalmente, el artículo 61 de la Ley 1328 de 2009, el cual entró en vigor el 15 de julio de 2013 establece lo siguiente: </w:t>
      </w:r>
    </w:p>
    <w:p w14:paraId="42416CB5" w14:textId="77777777" w:rsidR="005F2C03" w:rsidRPr="005F2C03" w:rsidRDefault="005F2C03" w:rsidP="005F2C03">
      <w:pPr>
        <w:pStyle w:val="NormalWeb"/>
        <w:spacing w:before="0" w:beforeAutospacing="0" w:after="0"/>
        <w:jc w:val="both"/>
        <w:rPr>
          <w:rFonts w:ascii="Arial Narrow" w:hAnsi="Arial Narrow" w:cs="Arial"/>
          <w:b/>
          <w:szCs w:val="22"/>
          <w:lang w:val="es-ES_tradnl"/>
        </w:rPr>
      </w:pPr>
      <w:r w:rsidRPr="005F2C03">
        <w:rPr>
          <w:rFonts w:ascii="Arial Narrow" w:hAnsi="Arial Narrow" w:cs="Arial"/>
          <w:b/>
          <w:szCs w:val="22"/>
          <w:lang w:val="es-ES_tradnl"/>
        </w:rPr>
        <w:t>“TITULO VII.</w:t>
      </w:r>
    </w:p>
    <w:p w14:paraId="62F4385D" w14:textId="77777777" w:rsidR="005F2C03" w:rsidRPr="005F2C03" w:rsidRDefault="005F2C03" w:rsidP="005F2C03">
      <w:pPr>
        <w:pStyle w:val="NormalWeb"/>
        <w:spacing w:before="0" w:beforeAutospacing="0" w:after="0"/>
        <w:jc w:val="both"/>
        <w:rPr>
          <w:rFonts w:ascii="Arial Narrow" w:hAnsi="Arial Narrow" w:cs="Arial"/>
          <w:b/>
          <w:szCs w:val="22"/>
          <w:lang w:val="es-ES_tradnl"/>
        </w:rPr>
      </w:pPr>
      <w:r w:rsidRPr="005F2C03">
        <w:rPr>
          <w:rFonts w:ascii="Arial Narrow" w:hAnsi="Arial Narrow" w:cs="Arial"/>
          <w:b/>
          <w:szCs w:val="22"/>
          <w:lang w:val="es-ES_tradnl"/>
        </w:rPr>
        <w:t>DE LA LIBERALIZACIÓN COMERCIAL EN MATERIA DE SERVICIOS FINANCIEROS.</w:t>
      </w:r>
    </w:p>
    <w:p w14:paraId="4E23351B" w14:textId="77777777" w:rsidR="005F2C03" w:rsidRPr="005F2C03" w:rsidRDefault="005F2C03" w:rsidP="005F2C03">
      <w:pPr>
        <w:pStyle w:val="NormalWeb"/>
        <w:spacing w:before="0" w:beforeAutospacing="0" w:after="0"/>
        <w:jc w:val="both"/>
        <w:rPr>
          <w:rFonts w:ascii="Arial Narrow" w:hAnsi="Arial Narrow" w:cs="Arial"/>
          <w:szCs w:val="22"/>
          <w:lang w:val="es-ES_tradnl"/>
        </w:rPr>
      </w:pPr>
      <w:r w:rsidRPr="005F2C03">
        <w:rPr>
          <w:rFonts w:ascii="Arial Narrow" w:hAnsi="Arial Narrow" w:cs="Arial"/>
          <w:i w:val="0"/>
          <w:iCs w:val="0"/>
          <w:szCs w:val="22"/>
          <w:lang w:val="es-ES_tradnl"/>
        </w:rPr>
        <w:t>ARTÍCULO 61. COMERCIO TRANSFRONTERIZO DE SEGUROS. Modificase el artículo 39 del Estatuto Orgánico del Sistema Financiero, el cual quedará así:</w:t>
      </w:r>
    </w:p>
    <w:p w14:paraId="37B9272C"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Artículo 39. Personas no autorizadas. Salvo lo previsto en los parágrafos del presente artículo, queda prohibido celebrar en el territorio nacional operaciones de seguros con entidades extranjeras no autorizadas para desarrollar la actividad aseguradora en Colombia o hacerlo con agentes o representantes que trabajen para las mismas. Las personas naturales o jurídicas que contravengan lo dispuesto en el presente artículo quedarán sujetas a las sanciones previstas en el artículo 208 del presente Estatuto.</w:t>
      </w:r>
    </w:p>
    <w:p w14:paraId="5F835871"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PARÁGRAFO 1o. Las compañías de seguros del exterior podrán ofrecer en el territorio colombiano o a sus residentes, única y exclusivamente, seguros asociados al transporte marítimo internacional, la aviación comercial internacional y el lanzamiento y transporte espacial (incluyendo satélites), que amparen los riesgos vinculados a las mercancías objeto de transporte, el vehículo que transporte las mercancías y la responsabilidad civil que pueda derivarse de los mismos, así como seguros que amparen mercancías en tránsito internacional.</w:t>
      </w:r>
    </w:p>
    <w:p w14:paraId="032F89CF"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La Superintendencia Financiera de Colombia podrá establecer la obligatoriedad del registro de las compañías de seguros del exterior que pretendan ofrecer estos seguros en el territorio nacional o a sus residentes.</w:t>
      </w:r>
    </w:p>
    <w:p w14:paraId="461DEF8A"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Salvo lo previsto en el presente parágrafo, las compañías de seguros del exterior no podrán ofrecer, promocionar o hacer publicidad de sus servicios en el territorio colombiano o a sus residentes.</w:t>
      </w:r>
    </w:p>
    <w:p w14:paraId="69CAE3B4"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PARÁGRAFO 2o. Toda persona natural o jurídica, residente en el país, podrá adquirir en el exterior cualquier tipo de seguro, con excepción de los siguientes:</w:t>
      </w:r>
    </w:p>
    <w:p w14:paraId="1ABF5438" w14:textId="77777777" w:rsidR="005F2C03" w:rsidRPr="005F2C03" w:rsidRDefault="005F2C03" w:rsidP="005F2C03">
      <w:pPr>
        <w:pStyle w:val="NormalWeb"/>
        <w:spacing w:before="0" w:beforeAutospacing="0"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lastRenderedPageBreak/>
        <w:t>a) Los seguros relacionados con el sistema de seguridad social, tales como los seguros previsionales de invalidez y muerte, las rentas vitalicias o los seguros de riesgos profesionales;</w:t>
      </w:r>
    </w:p>
    <w:p w14:paraId="390E9AD9" w14:textId="77777777" w:rsidR="005F2C03" w:rsidRPr="005F2C03" w:rsidRDefault="005F2C03" w:rsidP="005F2C03">
      <w:pPr>
        <w:pStyle w:val="NormalWeb"/>
        <w:spacing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b) Los seguros obligatorios;</w:t>
      </w:r>
    </w:p>
    <w:p w14:paraId="00573AA5" w14:textId="77777777" w:rsidR="005F2C03" w:rsidRPr="005F2C03" w:rsidRDefault="005F2C03" w:rsidP="005F2C03">
      <w:pPr>
        <w:pStyle w:val="NormalWeb"/>
        <w:spacing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c) Los seguros en los cuales el tomador, asegurado o beneficiario debe demostrar previamente a la adquisición del respectivo seguro que cuenta con un seguro obligatorio o que se encuentra al día en sus obligaciones para con la seguridad social, y</w:t>
      </w:r>
    </w:p>
    <w:p w14:paraId="2D718E2E" w14:textId="77777777" w:rsidR="005F2C03" w:rsidRPr="005F2C03" w:rsidRDefault="005F2C03" w:rsidP="005F2C03">
      <w:pPr>
        <w:pStyle w:val="NormalWeb"/>
        <w:spacing w:after="0"/>
        <w:jc w:val="both"/>
        <w:rPr>
          <w:rFonts w:ascii="Arial Narrow" w:hAnsi="Arial Narrow" w:cs="Arial"/>
          <w:i w:val="0"/>
          <w:iCs w:val="0"/>
          <w:szCs w:val="22"/>
          <w:lang w:val="es-ES_tradnl"/>
        </w:rPr>
      </w:pPr>
      <w:r w:rsidRPr="005F2C03">
        <w:rPr>
          <w:rFonts w:ascii="Arial Narrow" w:hAnsi="Arial Narrow" w:cs="Arial"/>
          <w:i w:val="0"/>
          <w:iCs w:val="0"/>
          <w:szCs w:val="22"/>
          <w:lang w:val="es-ES_tradnl"/>
        </w:rPr>
        <w:t>d) Los seguros en los cuales el tomador, asegurado o beneficiario sea una entidad del Estado. No obstante, el Gobierno Nacional podrá establecer, por vía general, los eventos y las condiciones en las cuales las entidades estatales podrán contratar seguros con compañías de seguros del exterior”.</w:t>
      </w:r>
    </w:p>
    <w:p w14:paraId="530821BB" w14:textId="77777777" w:rsidR="005F2C03" w:rsidRPr="005F2C03" w:rsidRDefault="005F2C03" w:rsidP="005F2C03">
      <w:pPr>
        <w:jc w:val="both"/>
        <w:rPr>
          <w:bCs/>
          <w:lang w:val="es-ES_tradnl" w:eastAsia="es-CO"/>
        </w:rPr>
      </w:pPr>
      <w:r w:rsidRPr="005F2C03">
        <w:rPr>
          <w:bCs/>
          <w:lang w:eastAsia="es-CO"/>
        </w:rPr>
        <w:t>En este orden, se puede concluir que las disposiciones previstas respecto al acceso de entidades extranjeras no autorizadas para desarrollar la actividad aseguradora en Colombia, no tiene aplicación actual en el Territorio Nacional. Por lo expuesto se tiene que:</w:t>
      </w:r>
    </w:p>
    <w:p w14:paraId="7A02EFF3" w14:textId="77777777" w:rsidR="005F2C03" w:rsidRPr="005F2C03" w:rsidRDefault="005F2C03" w:rsidP="005F2C03">
      <w:pPr>
        <w:jc w:val="both"/>
        <w:rPr>
          <w:bCs/>
          <w:lang w:eastAsia="es-CO"/>
        </w:rPr>
      </w:pPr>
    </w:p>
    <w:p w14:paraId="5DBC487E" w14:textId="77777777" w:rsidR="005F2C03" w:rsidRPr="005F2C03" w:rsidRDefault="005F2C03">
      <w:pPr>
        <w:pStyle w:val="Prrafodelista"/>
        <w:widowControl w:val="0"/>
        <w:numPr>
          <w:ilvl w:val="0"/>
          <w:numId w:val="23"/>
        </w:numPr>
        <w:spacing w:after="80"/>
        <w:jc w:val="both"/>
        <w:rPr>
          <w:bCs/>
          <w:lang w:eastAsia="es-ES"/>
        </w:rPr>
      </w:pPr>
      <w:r w:rsidRPr="005F2C03">
        <w:rPr>
          <w:bCs/>
        </w:rPr>
        <w:t>En la Actualidad en Colombia está prohibido adquirir seguros, cuando estos son ofrecidos por aseguradoras no autorizadas para desarrollar la actividad aseguradora en Colombia (Art. 39 Decreto 663 de 1993).</w:t>
      </w:r>
    </w:p>
    <w:p w14:paraId="1B35F67F" w14:textId="77777777" w:rsidR="005F2C03" w:rsidRPr="005F2C03" w:rsidRDefault="005F2C03">
      <w:pPr>
        <w:pStyle w:val="Prrafodelista"/>
        <w:widowControl w:val="0"/>
        <w:numPr>
          <w:ilvl w:val="0"/>
          <w:numId w:val="23"/>
        </w:numPr>
        <w:spacing w:after="80"/>
        <w:jc w:val="both"/>
        <w:rPr>
          <w:bCs/>
        </w:rPr>
      </w:pPr>
      <w:r w:rsidRPr="005F2C03">
        <w:rPr>
          <w:bCs/>
        </w:rPr>
        <w:t>En virtud de lo establecido en el literal d del parágrafo 2° del Artículo 61 de la Ley 1328 de 2009, las entidades del Estado no podrán adquirir en el exterior cualquier tipo de seguro.</w:t>
      </w:r>
    </w:p>
    <w:p w14:paraId="003E2F1F" w14:textId="77777777" w:rsidR="005F2C03" w:rsidRPr="005F2C03" w:rsidRDefault="005F2C03" w:rsidP="005F2C03">
      <w:pPr>
        <w:pStyle w:val="Prrafodelista"/>
        <w:rPr>
          <w:bCs/>
        </w:rPr>
      </w:pPr>
    </w:p>
    <w:p w14:paraId="6CA26897" w14:textId="77777777" w:rsidR="005F2C03" w:rsidRPr="005F2C03" w:rsidRDefault="005F2C03" w:rsidP="005F2C03">
      <w:pPr>
        <w:jc w:val="both"/>
      </w:pPr>
      <w:r w:rsidRPr="005F2C03">
        <w:rPr>
          <w:bCs/>
          <w:lang w:eastAsia="es-CO"/>
        </w:rPr>
        <w:t>De acuerdo con lo anterior, los seguros que las entidades estatales contraten deberán regirse por las normas previamente establecidas por la Superintendencia Financiera de Colombia, es decir, deberán estar contratadas con Aseguradoras autorizadas para tal efecto y en ese orden de ideas para el presente</w:t>
      </w:r>
      <w:r w:rsidRPr="005F2C03">
        <w:t xml:space="preserve"> proceso no aplican tratados internacionales.</w:t>
      </w:r>
    </w:p>
    <w:p w14:paraId="2D9348C4" w14:textId="77777777" w:rsidR="005F2C03" w:rsidRPr="005F2C03" w:rsidRDefault="005F2C03" w:rsidP="005F2C03">
      <w:pPr>
        <w:jc w:val="both"/>
      </w:pPr>
    </w:p>
    <w:p w14:paraId="065B5C40" w14:textId="77777777" w:rsidR="005F2C03" w:rsidRPr="005F2C03" w:rsidRDefault="005F2C03" w:rsidP="005F2C03">
      <w:pPr>
        <w:tabs>
          <w:tab w:val="left" w:pos="0"/>
        </w:tabs>
        <w:jc w:val="both"/>
      </w:pPr>
      <w:r w:rsidRPr="005F2C03">
        <w:t>Excepcionalmente, los residentes colombianos pueden tomar seguros en el exterior para sus riesgos personales cuando se encuentran temporalmente fuera del país o con autorización previa de la SFC por razones de interés público, para el caso de riesgos respecto de los bienes situados o matriculados en el país. En este sentido, las entidades del exterior no pueden promocionar productos o servicios de seguros en Colombia ni a residentes colombianos (distintos de reaseguros), y estos no pueden contratar seguros con tales entidades, so pena de que el contrato no pueda ser ejecutado en Colombia, además de las sanciones que puede imponer la SFC a los tomadores del seguro y a las entidades extranjeras que ofrezcan estos servicios sin la autorización requerida.</w:t>
      </w:r>
    </w:p>
    <w:p w14:paraId="79EEBCF1" w14:textId="77777777" w:rsidR="005F2C03" w:rsidRPr="005F2C03" w:rsidRDefault="005F2C03" w:rsidP="005F2C03">
      <w:pPr>
        <w:tabs>
          <w:tab w:val="left" w:pos="0"/>
        </w:tabs>
        <w:jc w:val="both"/>
      </w:pPr>
    </w:p>
    <w:p w14:paraId="56D36482" w14:textId="77777777" w:rsidR="005F2C03" w:rsidRPr="005F2C03" w:rsidRDefault="005F2C03" w:rsidP="005F2C03">
      <w:pPr>
        <w:tabs>
          <w:tab w:val="left" w:pos="0"/>
        </w:tabs>
        <w:jc w:val="both"/>
      </w:pPr>
      <w:r w:rsidRPr="005F2C03">
        <w:t>La Constitución Nacional establece que la actividad aseguradora en Colombia es de interés público razón por la cual solo puede ser ejercida en el país previa autorización del Estado. (Ver artículo 335 C.N.)</w:t>
      </w:r>
    </w:p>
    <w:p w14:paraId="06C3ABEB" w14:textId="77777777" w:rsidR="005F2C03" w:rsidRPr="005F2C03" w:rsidRDefault="005F2C03" w:rsidP="005F2C03">
      <w:pPr>
        <w:tabs>
          <w:tab w:val="left" w:pos="0"/>
        </w:tabs>
        <w:jc w:val="both"/>
      </w:pPr>
    </w:p>
    <w:p w14:paraId="1BA6FDF0" w14:textId="77777777" w:rsidR="005F2C03" w:rsidRPr="005F2C03" w:rsidRDefault="005F2C03" w:rsidP="005F2C03">
      <w:pPr>
        <w:tabs>
          <w:tab w:val="left" w:pos="0"/>
        </w:tabs>
        <w:jc w:val="both"/>
      </w:pPr>
      <w:r w:rsidRPr="005F2C03">
        <w:t xml:space="preserve">Por ello, cualquier persona que desee desarrollar el negocio de los seguros en Colombia debe contar con la autorización previa de la Superintendencia Financiera de Colombia. (Ver artículos 39 y 108, numeral 3 EOSF). </w:t>
      </w:r>
      <w:r w:rsidRPr="005F2C03">
        <w:lastRenderedPageBreak/>
        <w:t>Para desarrollar la actividad aseguradora en Colombia debe constituirse en el país una entidad bajo la forma de sociedad anónima mercantil o asociación cooperativa, una vez obtenida la autorización expresa de la Superintendencia Financiera de Colombia.</w:t>
      </w:r>
    </w:p>
    <w:p w14:paraId="70689010" w14:textId="77777777" w:rsidR="005F2C03" w:rsidRPr="005F2C03" w:rsidRDefault="005F2C03" w:rsidP="005F2C03">
      <w:pPr>
        <w:tabs>
          <w:tab w:val="left" w:pos="0"/>
        </w:tabs>
        <w:jc w:val="both"/>
      </w:pPr>
    </w:p>
    <w:p w14:paraId="766BB8A2" w14:textId="77777777" w:rsidR="005F2C03" w:rsidRPr="005F2C03" w:rsidRDefault="005F2C03" w:rsidP="005F2C03">
      <w:pPr>
        <w:tabs>
          <w:tab w:val="left" w:pos="0"/>
        </w:tabs>
        <w:jc w:val="both"/>
      </w:pPr>
      <w:r w:rsidRPr="005F2C03">
        <w:t>Esto significa que las entidades aseguradoras extranjeras no pueden operar ni contratar directamente seguros en Colombia; para ello deben constituir una entidad filial en el país de acuerdo con lo dispuesto en la Constitución y la Ley.</w:t>
      </w:r>
      <w:bookmarkEnd w:id="38"/>
    </w:p>
    <w:p w14:paraId="647E3D99" w14:textId="77777777" w:rsidR="005F2C03" w:rsidRPr="005F2C03" w:rsidRDefault="005F2C03" w:rsidP="002A2548">
      <w:pPr>
        <w:jc w:val="both"/>
        <w:rPr>
          <w:rFonts w:cs="Arial"/>
          <w:lang w:eastAsia="es-CO"/>
        </w:rPr>
      </w:pPr>
    </w:p>
    <w:p w14:paraId="088F2D19" w14:textId="1DB8CEFF" w:rsidR="0053405F" w:rsidRPr="005F2C03" w:rsidRDefault="00F9045A" w:rsidP="002C43B5">
      <w:pPr>
        <w:tabs>
          <w:tab w:val="left" w:pos="3780"/>
        </w:tabs>
        <w:jc w:val="both"/>
        <w:rPr>
          <w:rFonts w:cs="Arial"/>
          <w:lang w:eastAsia="ar-SA"/>
        </w:rPr>
      </w:pPr>
      <w:r w:rsidRPr="005F2C03">
        <w:rPr>
          <w:rFonts w:cs="Arial"/>
          <w:lang w:eastAsia="ar-SA"/>
        </w:rPr>
        <w:tab/>
      </w:r>
    </w:p>
    <w:p w14:paraId="72DE8048" w14:textId="77777777" w:rsidR="00BD0CA6" w:rsidRPr="005F2C03" w:rsidRDefault="00BD0CA6" w:rsidP="002C43B5">
      <w:pPr>
        <w:jc w:val="both"/>
        <w:rPr>
          <w:rFonts w:cs="Arial"/>
          <w:lang w:eastAsia="ar-SA"/>
        </w:rPr>
      </w:pPr>
    </w:p>
    <w:p w14:paraId="02EE31AD" w14:textId="3181AC87" w:rsidR="00BD0CA6" w:rsidRPr="005F2C03" w:rsidRDefault="00BD0CA6" w:rsidP="00BD0CA6">
      <w:pPr>
        <w:rPr>
          <w:rFonts w:cs="Arial"/>
          <w:bCs/>
          <w:i/>
          <w:sz w:val="18"/>
          <w:szCs w:val="18"/>
          <w:lang w:val="es-ES_tradnl"/>
        </w:rPr>
      </w:pPr>
      <w:bookmarkStart w:id="39" w:name="_Hlk128047417"/>
      <w:r w:rsidRPr="005F2C03">
        <w:rPr>
          <w:rFonts w:cs="Arial"/>
          <w:b/>
          <w:i/>
          <w:sz w:val="18"/>
          <w:szCs w:val="18"/>
          <w:lang w:val="es-ES_tradnl"/>
        </w:rPr>
        <w:t xml:space="preserve">Elaboró: </w:t>
      </w:r>
      <w:bookmarkStart w:id="40" w:name="_Hlk109252792"/>
      <w:r w:rsidRPr="005F2C03">
        <w:rPr>
          <w:rFonts w:cs="Arial"/>
          <w:bCs/>
          <w:i/>
          <w:sz w:val="18"/>
          <w:szCs w:val="18"/>
          <w:lang w:val="es-ES_tradnl"/>
        </w:rPr>
        <w:t>Martha Combita. – Abg. Proceso Contractuales – JARGU S.A. Corredores de Seguros</w:t>
      </w:r>
      <w:bookmarkEnd w:id="39"/>
      <w:bookmarkEnd w:id="40"/>
    </w:p>
    <w:p w14:paraId="6DB456C6" w14:textId="77777777" w:rsidR="00BD0CA6" w:rsidRPr="005F2C03" w:rsidRDefault="00BD0CA6" w:rsidP="002C43B5">
      <w:pPr>
        <w:jc w:val="both"/>
        <w:rPr>
          <w:rFonts w:cs="Arial"/>
          <w:lang w:val="es-ES_tradnl" w:eastAsia="ar-SA"/>
        </w:rPr>
      </w:pPr>
    </w:p>
    <w:p w14:paraId="6CB21975" w14:textId="665AAC55" w:rsidR="0053405F" w:rsidRPr="005F2C03" w:rsidRDefault="0053405F" w:rsidP="002C43B5">
      <w:pPr>
        <w:jc w:val="both"/>
        <w:rPr>
          <w:rFonts w:cs="Arial"/>
          <w:lang w:eastAsia="ar-SA"/>
        </w:rPr>
      </w:pPr>
    </w:p>
    <w:p w14:paraId="0457A367" w14:textId="623AF181" w:rsidR="00FE4651" w:rsidRPr="005F2C03" w:rsidRDefault="00FE4651" w:rsidP="009260D8">
      <w:pPr>
        <w:rPr>
          <w:rFonts w:cs="Arial"/>
          <w:lang w:eastAsia="ar-SA"/>
        </w:rPr>
      </w:pPr>
    </w:p>
    <w:sectPr w:rsidR="00FE4651" w:rsidRPr="005F2C03" w:rsidSect="00774F70">
      <w:headerReference w:type="default" r:id="rId90"/>
      <w:footerReference w:type="default" r:id="rId91"/>
      <w:headerReference w:type="first" r:id="rId92"/>
      <w:footerReference w:type="first" r:id="rId93"/>
      <w:pgSz w:w="12240" w:h="15840" w:code="1"/>
      <w:pgMar w:top="2513" w:right="1701" w:bottom="2410" w:left="1701" w:header="708" w:footer="3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7C10D" w14:textId="77777777" w:rsidR="009A7CDB" w:rsidRDefault="009A7CDB" w:rsidP="0053405F">
      <w:r>
        <w:separator/>
      </w:r>
    </w:p>
  </w:endnote>
  <w:endnote w:type="continuationSeparator" w:id="0">
    <w:p w14:paraId="41E505B3" w14:textId="77777777" w:rsidR="009A7CDB" w:rsidRDefault="009A7CDB" w:rsidP="0053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DejaVu Sans">
    <w:altName w:val="Arial"/>
    <w:charset w:val="00"/>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1EB89" w14:textId="5361E603" w:rsidR="00537927" w:rsidRDefault="004A408F" w:rsidP="004A408F">
    <w:pPr>
      <w:pStyle w:val="Piedepgina"/>
      <w:ind w:left="-1134"/>
      <w:jc w:val="right"/>
      <w:rPr>
        <w:lang w:val="es-CO"/>
      </w:rPr>
    </w:pPr>
    <w:r w:rsidRPr="004A408F">
      <w:t xml:space="preserve">Página </w:t>
    </w:r>
    <w:r w:rsidRPr="004A408F">
      <w:rPr>
        <w:b/>
        <w:bCs/>
        <w:lang w:val="es-CO"/>
      </w:rPr>
      <w:fldChar w:fldCharType="begin"/>
    </w:r>
    <w:r w:rsidRPr="004A408F">
      <w:rPr>
        <w:b/>
        <w:bCs/>
        <w:lang w:val="es-CO"/>
      </w:rPr>
      <w:instrText>PAGE  \* Arabic  \* MERGEFORMAT</w:instrText>
    </w:r>
    <w:r w:rsidRPr="004A408F">
      <w:rPr>
        <w:b/>
        <w:bCs/>
        <w:lang w:val="es-CO"/>
      </w:rPr>
      <w:fldChar w:fldCharType="separate"/>
    </w:r>
    <w:r w:rsidRPr="004A408F">
      <w:rPr>
        <w:b/>
        <w:bCs/>
      </w:rPr>
      <w:t>1</w:t>
    </w:r>
    <w:r w:rsidRPr="004A408F">
      <w:rPr>
        <w:b/>
        <w:bCs/>
        <w:lang w:val="es-CO"/>
      </w:rPr>
      <w:fldChar w:fldCharType="end"/>
    </w:r>
    <w:r w:rsidRPr="004A408F">
      <w:t xml:space="preserve"> de </w:t>
    </w:r>
    <w:r w:rsidRPr="004A408F">
      <w:rPr>
        <w:b/>
        <w:bCs/>
        <w:lang w:val="es-CO"/>
      </w:rPr>
      <w:fldChar w:fldCharType="begin"/>
    </w:r>
    <w:r w:rsidRPr="004A408F">
      <w:rPr>
        <w:b/>
        <w:bCs/>
        <w:lang w:val="es-CO"/>
      </w:rPr>
      <w:instrText>NUMPAGES  \* Arabic  \* MERGEFORMAT</w:instrText>
    </w:r>
    <w:r w:rsidRPr="004A408F">
      <w:rPr>
        <w:b/>
        <w:bCs/>
        <w:lang w:val="es-CO"/>
      </w:rPr>
      <w:fldChar w:fldCharType="separate"/>
    </w:r>
    <w:r w:rsidRPr="004A408F">
      <w:rPr>
        <w:b/>
        <w:bCs/>
      </w:rPr>
      <w:t>2</w:t>
    </w:r>
    <w:r w:rsidRPr="004A408F">
      <w:rPr>
        <w:b/>
        <w:bCs/>
        <w:lang w:val="es-CO"/>
      </w:rPr>
      <w:fldChar w:fldCharType="end"/>
    </w:r>
    <w:r w:rsidR="00537927">
      <w:rPr>
        <w:noProof/>
        <w:sz w:val="18"/>
        <w:szCs w:val="18"/>
        <w:lang w:val="es-CO" w:eastAsia="es-CO"/>
      </w:rPr>
      <w:drawing>
        <wp:anchor distT="0" distB="0" distL="114300" distR="114300" simplePos="0" relativeHeight="251661312" behindDoc="1" locked="0" layoutInCell="1" allowOverlap="1" wp14:anchorId="3C07B464" wp14:editId="0EA03BE5">
          <wp:simplePos x="0" y="0"/>
          <wp:positionH relativeFrom="margin">
            <wp:align>center</wp:align>
          </wp:positionH>
          <wp:positionV relativeFrom="page">
            <wp:posOffset>8736965</wp:posOffset>
          </wp:positionV>
          <wp:extent cx="6681470" cy="617220"/>
          <wp:effectExtent l="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172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DB2AD" w14:textId="15BC98DA" w:rsidR="002A58EA" w:rsidRDefault="002A58EA">
    <w:pPr>
      <w:pStyle w:val="Piedepgina"/>
    </w:pPr>
    <w:r>
      <w:rPr>
        <w:noProof/>
        <w:sz w:val="18"/>
        <w:szCs w:val="18"/>
        <w:lang w:val="es-CO" w:eastAsia="es-CO"/>
      </w:rPr>
      <w:drawing>
        <wp:anchor distT="0" distB="0" distL="114300" distR="114300" simplePos="0" relativeHeight="251663360" behindDoc="1" locked="0" layoutInCell="1" allowOverlap="1" wp14:anchorId="7F409C5D" wp14:editId="35A431A0">
          <wp:simplePos x="0" y="0"/>
          <wp:positionH relativeFrom="margin">
            <wp:posOffset>-514350</wp:posOffset>
          </wp:positionH>
          <wp:positionV relativeFrom="page">
            <wp:posOffset>8749030</wp:posOffset>
          </wp:positionV>
          <wp:extent cx="6681470" cy="617220"/>
          <wp:effectExtent l="0" t="0" r="508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6172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D1F12" w14:textId="77777777" w:rsidR="009A7CDB" w:rsidRDefault="009A7CDB" w:rsidP="0053405F">
      <w:r>
        <w:separator/>
      </w:r>
    </w:p>
  </w:footnote>
  <w:footnote w:type="continuationSeparator" w:id="0">
    <w:p w14:paraId="3638EC2C" w14:textId="77777777" w:rsidR="009A7CDB" w:rsidRDefault="009A7CDB" w:rsidP="0053405F">
      <w:r>
        <w:continuationSeparator/>
      </w:r>
    </w:p>
  </w:footnote>
  <w:footnote w:id="1">
    <w:p w14:paraId="7A75E1D7" w14:textId="77777777" w:rsidR="00C4639A" w:rsidRDefault="00C4639A" w:rsidP="00C4639A">
      <w:pPr>
        <w:pStyle w:val="NormalWeb"/>
        <w:rPr>
          <w:rFonts w:ascii="Tahoma" w:hAnsi="Tahoma"/>
          <w:sz w:val="20"/>
          <w:szCs w:val="20"/>
        </w:rPr>
      </w:pPr>
      <w:r>
        <w:rPr>
          <w:rStyle w:val="Refdenotaalpie"/>
        </w:rPr>
        <w:footnoteRef/>
      </w:r>
      <w:r>
        <w:rPr>
          <w:rStyle w:val="Refdenotaalpie"/>
        </w:rPr>
        <w:t xml:space="preserve"> El contrato de seguro se encuentra regulado en el título V, del libro IV del Código de Comercio.</w:t>
      </w:r>
    </w:p>
  </w:footnote>
  <w:footnote w:id="2">
    <w:p w14:paraId="161622A0" w14:textId="77777777" w:rsidR="00794651" w:rsidRDefault="00794651" w:rsidP="00794651">
      <w:pPr>
        <w:pStyle w:val="Textonotapie"/>
        <w:rPr>
          <w:rFonts w:ascii="Times New Roman" w:hAnsi="Times New Roman" w:cs="Times New Roman"/>
          <w:sz w:val="16"/>
          <w:szCs w:val="16"/>
        </w:rPr>
      </w:pPr>
      <w:r>
        <w:rPr>
          <w:rStyle w:val="Refdenotaalpie"/>
          <w:rFonts w:eastAsia="Arial Unicode MS"/>
        </w:rPr>
        <w:footnoteRef/>
      </w:r>
      <w:r>
        <w:rPr>
          <w:sz w:val="16"/>
          <w:szCs w:val="16"/>
        </w:rPr>
        <w:t xml:space="preserve">   </w:t>
      </w:r>
      <w:hyperlink r:id="rId1" w:history="1">
        <w:r>
          <w:rPr>
            <w:rStyle w:val="Hipervnculo"/>
            <w:szCs w:val="16"/>
          </w:rPr>
          <w:t>https://enciclopedia.banrepcultural.org/index.php/Sectores_economicos</w:t>
        </w:r>
      </w:hyperlink>
    </w:p>
    <w:p w14:paraId="6A3B1FF3" w14:textId="77777777" w:rsidR="00794651" w:rsidRDefault="00794651" w:rsidP="00794651">
      <w:pPr>
        <w:pStyle w:val="Textonotapie"/>
        <w:rPr>
          <w:sz w:val="16"/>
          <w:szCs w:val="16"/>
        </w:rPr>
      </w:pPr>
    </w:p>
    <w:p w14:paraId="7945A695" w14:textId="77777777" w:rsidR="00794651" w:rsidRDefault="00794651" w:rsidP="00794651">
      <w:pPr>
        <w:pStyle w:val="Textonotapie"/>
        <w:rPr>
          <w:sz w:val="16"/>
          <w:szCs w:val="16"/>
        </w:rPr>
      </w:pPr>
    </w:p>
    <w:p w14:paraId="0014A542" w14:textId="77777777" w:rsidR="00794651" w:rsidRDefault="00794651" w:rsidP="00794651">
      <w:pPr>
        <w:pStyle w:val="Textonotapie"/>
        <w:rPr>
          <w:sz w:val="16"/>
          <w:szCs w:val="16"/>
        </w:rPr>
      </w:pPr>
    </w:p>
  </w:footnote>
  <w:footnote w:id="3">
    <w:p w14:paraId="3457E9E0" w14:textId="77777777" w:rsidR="00A204A8" w:rsidRDefault="00A204A8" w:rsidP="00A204A8">
      <w:pPr>
        <w:pStyle w:val="Textonotapie"/>
        <w:rPr>
          <w:rFonts w:ascii="Times New Roman" w:hAnsi="Times New Roman"/>
          <w:sz w:val="16"/>
          <w:szCs w:val="16"/>
          <w:lang w:val="es-CO" w:eastAsia="es-ES"/>
        </w:rPr>
      </w:pPr>
      <w:r>
        <w:rPr>
          <w:rStyle w:val="Refdenotaalpie"/>
        </w:rPr>
        <w:footnoteRef/>
      </w:r>
      <w:r>
        <w:rPr>
          <w:sz w:val="16"/>
          <w:szCs w:val="16"/>
          <w:lang w:val="es-CO"/>
        </w:rPr>
        <w:t xml:space="preserve"> https://publicaciones.fasecolda.com/regimen-de-seguros/chapter/p3-c1/</w:t>
      </w:r>
    </w:p>
  </w:footnote>
  <w:footnote w:id="4">
    <w:p w14:paraId="50123497" w14:textId="77777777" w:rsidR="00516E37" w:rsidRDefault="00516E37" w:rsidP="00516E37">
      <w:pPr>
        <w:pStyle w:val="Textonotapie"/>
        <w:rPr>
          <w:sz w:val="16"/>
          <w:szCs w:val="16"/>
          <w:lang w:val="es-MX"/>
        </w:rPr>
      </w:pPr>
      <w:r>
        <w:rPr>
          <w:rStyle w:val="Refdenotaalpie"/>
        </w:rPr>
        <w:footnoteRef/>
      </w:r>
      <w:r>
        <w:rPr>
          <w:sz w:val="16"/>
          <w:szCs w:val="16"/>
        </w:rPr>
        <w:t xml:space="preserve"> </w:t>
      </w:r>
      <w:hyperlink r:id="rId2" w:history="1">
        <w:r>
          <w:rPr>
            <w:rStyle w:val="Hipervnculo"/>
            <w:sz w:val="16"/>
            <w:szCs w:val="16"/>
          </w:rPr>
          <w:t>https://www.ambitojuridico.com/noticias/especiales/sociedades-y-economia-solidaria/que-es-un-contrato-de-reaseguro-y-como-funciona</w:t>
        </w:r>
      </w:hyperlink>
      <w:r>
        <w:rPr>
          <w:sz w:val="16"/>
          <w:szCs w:val="16"/>
        </w:rPr>
        <w:t xml:space="preserve"> Fecha de consulta 13-05-2022</w:t>
      </w:r>
    </w:p>
  </w:footnote>
  <w:footnote w:id="5">
    <w:p w14:paraId="3CB7EB67" w14:textId="77777777" w:rsidR="00946160" w:rsidRDefault="00946160" w:rsidP="00946160">
      <w:pPr>
        <w:pStyle w:val="Textonotapie"/>
        <w:rPr>
          <w:rFonts w:ascii="Times New Roman" w:hAnsi="Times New Roman"/>
          <w:sz w:val="16"/>
          <w:szCs w:val="16"/>
        </w:rPr>
      </w:pPr>
      <w:r>
        <w:rPr>
          <w:rStyle w:val="Refdenotaalpie"/>
          <w:sz w:val="16"/>
          <w:szCs w:val="16"/>
        </w:rPr>
        <w:footnoteRef/>
      </w:r>
      <w:r>
        <w:rPr>
          <w:sz w:val="16"/>
          <w:szCs w:val="16"/>
        </w:rPr>
        <w:t xml:space="preserve"> </w:t>
      </w:r>
      <w:hyperlink r:id="rId3" w:history="1">
        <w:r>
          <w:rPr>
            <w:rStyle w:val="Hipervnculo"/>
            <w:sz w:val="16"/>
            <w:szCs w:val="16"/>
          </w:rPr>
          <w:t>https://fasecolda.com/fasecolda/nosotros/</w:t>
        </w:r>
      </w:hyperlink>
      <w:r>
        <w:rPr>
          <w:sz w:val="16"/>
          <w:szCs w:val="16"/>
        </w:rPr>
        <w:t xml:space="preserve"> </w:t>
      </w:r>
    </w:p>
  </w:footnote>
  <w:footnote w:id="6">
    <w:p w14:paraId="7ACE52E5" w14:textId="77777777" w:rsidR="00E76556" w:rsidRDefault="00E76556" w:rsidP="00E76556">
      <w:pPr>
        <w:pStyle w:val="Textonotapie"/>
        <w:rPr>
          <w:sz w:val="18"/>
          <w:szCs w:val="18"/>
        </w:rPr>
      </w:pPr>
      <w:r>
        <w:rPr>
          <w:rStyle w:val="Refdenotaalpie"/>
          <w:rFonts w:eastAsia="Arial Unicode MS"/>
          <w:sz w:val="18"/>
          <w:szCs w:val="18"/>
        </w:rPr>
        <w:footnoteRef/>
      </w:r>
      <w:r>
        <w:rPr>
          <w:sz w:val="18"/>
          <w:szCs w:val="18"/>
        </w:rPr>
        <w:t xml:space="preserve"> DANE Boletín Técnico Producto Interno Bruto. Recuperado:</w:t>
      </w:r>
    </w:p>
    <w:p w14:paraId="584F27AE" w14:textId="77777777" w:rsidR="00E76556" w:rsidRDefault="00E76556" w:rsidP="00E76556">
      <w:pPr>
        <w:pStyle w:val="Textonotapie"/>
        <w:jc w:val="both"/>
        <w:rPr>
          <w:sz w:val="18"/>
          <w:szCs w:val="18"/>
        </w:rPr>
      </w:pPr>
      <w:r>
        <w:rPr>
          <w:color w:val="0070C0"/>
          <w:sz w:val="18"/>
          <w:szCs w:val="18"/>
        </w:rPr>
        <w:t xml:space="preserve"> </w:t>
      </w:r>
      <w:hyperlink r:id="rId4" w:tgtFrame="_blank" w:tooltip="https://www.dane.gov.co/index.php/estadisticas-por-tema/cuentas-nacionales/cuentas-nacionales-trimestrales/pib-informacion-tecnica" w:history="1">
        <w:r>
          <w:rPr>
            <w:rStyle w:val="Hipervnculo"/>
            <w:color w:val="0070C0"/>
            <w:sz w:val="18"/>
            <w:szCs w:val="18"/>
          </w:rPr>
          <w:t>https://www.dane.gov.co/index.php/estadisticas-por-tema/cuentas-nacionales/cuentas-nacionales-trimestrales/pib-informacion-tecnica</w:t>
        </w:r>
      </w:hyperlink>
      <w:r>
        <w:rPr>
          <w:color w:val="0070C0"/>
          <w:sz w:val="18"/>
          <w:szCs w:val="18"/>
        </w:rPr>
        <w:t xml:space="preserve"> </w:t>
      </w:r>
    </w:p>
  </w:footnote>
  <w:footnote w:id="7">
    <w:p w14:paraId="6FB22E3A" w14:textId="77777777" w:rsidR="00E76556" w:rsidRDefault="00E76556" w:rsidP="00E76556">
      <w:pPr>
        <w:rPr>
          <w:rFonts w:ascii="Tahoma" w:hAnsi="Tahoma"/>
          <w:sz w:val="16"/>
          <w:szCs w:val="20"/>
        </w:rPr>
      </w:pPr>
      <w:r>
        <w:rPr>
          <w:sz w:val="18"/>
          <w:szCs w:val="18"/>
        </w:rPr>
        <w:footnoteRef/>
      </w:r>
      <w:hyperlink r:id="rId5" w:history="1">
        <w:r>
          <w:rPr>
            <w:rStyle w:val="Hipervnculo"/>
          </w:rPr>
          <w:t>https://www.dane.gov.co/files/operaciones/GEIH/bol-GEIH-mar2024.pdf</w:t>
        </w:r>
      </w:hyperlink>
    </w:p>
    <w:p w14:paraId="21A4561E" w14:textId="77777777" w:rsidR="00E76556" w:rsidRDefault="00E76556" w:rsidP="00E76556">
      <w:pPr>
        <w:rPr>
          <w:rFonts w:eastAsia="Calibri"/>
          <w:sz w:val="18"/>
          <w:szCs w:val="18"/>
        </w:rPr>
      </w:pPr>
    </w:p>
    <w:p w14:paraId="388877DE" w14:textId="77777777" w:rsidR="00E76556" w:rsidRDefault="00E76556" w:rsidP="00E76556">
      <w:pPr>
        <w:rPr>
          <w:rFonts w:ascii="Calibri" w:eastAsia="Times New Roman" w:hAnsi="Calibri"/>
          <w:sz w:val="18"/>
          <w:szCs w:val="18"/>
        </w:rPr>
      </w:pPr>
    </w:p>
  </w:footnote>
  <w:footnote w:id="8">
    <w:p w14:paraId="666B579D" w14:textId="77777777" w:rsidR="00E76556" w:rsidRDefault="00E76556" w:rsidP="00E76556">
      <w:pPr>
        <w:rPr>
          <w:rFonts w:ascii="Tahoma" w:hAnsi="Tahoma"/>
          <w:sz w:val="18"/>
          <w:szCs w:val="18"/>
        </w:rPr>
      </w:pPr>
      <w:r>
        <w:rPr>
          <w:sz w:val="18"/>
          <w:szCs w:val="18"/>
        </w:rPr>
        <w:footnoteRef/>
      </w:r>
      <w:r>
        <w:rPr>
          <w:sz w:val="18"/>
          <w:szCs w:val="18"/>
        </w:rPr>
        <w:t xml:space="preserve"> </w:t>
      </w:r>
      <w:hyperlink r:id="rId6" w:history="1">
        <w:r>
          <w:rPr>
            <w:rStyle w:val="Hipervnculo"/>
            <w:sz w:val="18"/>
            <w:szCs w:val="18"/>
          </w:rPr>
          <w:t>https://www.dane.gov.co/files/investigaciones/boletines/ech/ech/bol_empleo_dic_22.pdf</w:t>
        </w:r>
      </w:hyperlink>
      <w:r>
        <w:rPr>
          <w:sz w:val="18"/>
          <w:szCs w:val="18"/>
        </w:rPr>
        <w:t xml:space="preserve"> </w:t>
      </w:r>
    </w:p>
  </w:footnote>
  <w:footnote w:id="9">
    <w:p w14:paraId="3DC4BD99" w14:textId="77777777" w:rsidR="00A30C63" w:rsidRDefault="00A30C63" w:rsidP="00A30C63">
      <w:pPr>
        <w:jc w:val="both"/>
        <w:rPr>
          <w:rFonts w:ascii="Times New Roman" w:hAnsi="Times New Roman" w:cs="Times New Roman"/>
          <w:sz w:val="16"/>
          <w:szCs w:val="16"/>
          <w:lang w:val="es-ES_tradnl"/>
        </w:rPr>
      </w:pPr>
      <w:r>
        <w:rPr>
          <w:rStyle w:val="Refdenotaalpie"/>
          <w:sz w:val="16"/>
          <w:szCs w:val="16"/>
        </w:rPr>
        <w:footnoteRef/>
      </w:r>
      <w:r>
        <w:rPr>
          <w:sz w:val="16"/>
          <w:szCs w:val="16"/>
        </w:rPr>
        <w:t xml:space="preserve"> </w:t>
      </w:r>
      <w:r>
        <w:rPr>
          <w:color w:val="000000" w:themeColor="text1"/>
          <w:sz w:val="16"/>
          <w:szCs w:val="16"/>
          <w:lang w:val="es-ES_tradnl"/>
        </w:rPr>
        <w:t>De acuerdo con lo establecido en el inciso segundo, numeral 1º, artículo 184 EOSF (*), la aprobación previa de pólizas y tarifas por parte de la SFC sólo es necesaria cuando se trata de la autorización inicial a una entidad aseguradora o de la correspondiente para la explotación de un nuevo ramo</w:t>
      </w:r>
    </w:p>
    <w:p w14:paraId="3FAA6B07" w14:textId="77777777" w:rsidR="00A30C63" w:rsidRDefault="00A30C63" w:rsidP="00A30C63">
      <w:pPr>
        <w:pStyle w:val="Textonotapie"/>
        <w:rPr>
          <w:sz w:val="16"/>
          <w:szCs w:val="16"/>
        </w:rPr>
      </w:pPr>
    </w:p>
  </w:footnote>
  <w:footnote w:id="10">
    <w:p w14:paraId="07D8BA39" w14:textId="77777777" w:rsidR="00A30C63" w:rsidRDefault="00A30C63" w:rsidP="00A30C63">
      <w:pPr>
        <w:pStyle w:val="Textonotapie"/>
        <w:rPr>
          <w:sz w:val="16"/>
          <w:szCs w:val="16"/>
        </w:rPr>
      </w:pPr>
      <w:r>
        <w:rPr>
          <w:rStyle w:val="Refdenotaalpie"/>
          <w:sz w:val="16"/>
          <w:szCs w:val="16"/>
        </w:rPr>
        <w:footnoteRef/>
      </w:r>
      <w:r>
        <w:rPr>
          <w:sz w:val="16"/>
          <w:szCs w:val="16"/>
        </w:rPr>
        <w:t xml:space="preserve"> https://fasecolda.com/servicios/directorio/companias-de-seguros/</w:t>
      </w:r>
    </w:p>
  </w:footnote>
  <w:footnote w:id="11">
    <w:p w14:paraId="597C309A" w14:textId="77777777" w:rsidR="00755C97" w:rsidRDefault="00755C97" w:rsidP="00755C97">
      <w:pPr>
        <w:pStyle w:val="Textonotapie"/>
        <w:rPr>
          <w:rFonts w:ascii="Times New Roman" w:hAnsi="Times New Roman" w:cs="Times New Roman"/>
        </w:rPr>
      </w:pPr>
      <w:r>
        <w:rPr>
          <w:rStyle w:val="Refdenotaalpie"/>
        </w:rPr>
        <w:t>[1]</w:t>
      </w:r>
      <w:r>
        <w:t xml:space="preserve"> Manual para Determinar y Verificar los Requisitos Habilitantes en los Procesos de Contratación; Colombia Compra Eficiente; Paginas 5 y 6.</w:t>
      </w:r>
    </w:p>
  </w:footnote>
  <w:footnote w:id="12">
    <w:p w14:paraId="3A948426" w14:textId="77777777" w:rsidR="005F2C03" w:rsidRDefault="005F2C03" w:rsidP="005F2C03">
      <w:pPr>
        <w:pStyle w:val="Textonotapie"/>
        <w:jc w:val="both"/>
        <w:rPr>
          <w:rFonts w:ascii="Times New Roman" w:hAnsi="Times New Roman" w:cs="Times New Roman"/>
          <w:sz w:val="16"/>
          <w:szCs w:val="16"/>
        </w:rPr>
      </w:pPr>
      <w:r>
        <w:rPr>
          <w:rStyle w:val="Refdenotaalpie"/>
          <w:sz w:val="16"/>
          <w:szCs w:val="16"/>
        </w:rPr>
        <w:footnoteRef/>
      </w:r>
      <w:r>
        <w:rPr>
          <w:sz w:val="16"/>
          <w:szCs w:val="16"/>
        </w:rPr>
        <w:t xml:space="preserve"> Decreto 1860 de 2021. “Por el cual se modifica y adiciona el Decreto 1082 de 2015, Único Reglamentario del Sector Administrativo de Planeación Nacional, con el fin reglamentar los artículos 30, 31, 32, 34 y 35 de la Ley 2069 de 2020, en lo relativo al sistema de compras públicas y se dictan otras disposiciones”, artículos 2.2.1.2.4.2.15 y 2.2.1.2.4.2.18, disponible en: </w:t>
      </w:r>
      <w:hyperlink r:id="rId7" w:history="1">
        <w:r>
          <w:rPr>
            <w:rStyle w:val="Hipervnculo"/>
            <w:sz w:val="16"/>
            <w:szCs w:val="16"/>
          </w:rPr>
          <w:t>https://www.funcionpublica.gov.co/eva/gestornormativo/norma.php?i=175187</w:t>
        </w:r>
      </w:hyperlink>
      <w:r>
        <w:rPr>
          <w:sz w:val="16"/>
          <w:szCs w:val="16"/>
        </w:rPr>
        <w:t>, fecha de consulta: marzo 14 de 2024.</w:t>
      </w:r>
    </w:p>
  </w:footnote>
  <w:footnote w:id="13">
    <w:p w14:paraId="6E9E6890" w14:textId="77777777" w:rsidR="005F2C03" w:rsidRDefault="005F2C03" w:rsidP="005F2C03">
      <w:pPr>
        <w:pStyle w:val="Textonotapie"/>
        <w:jc w:val="both"/>
        <w:rPr>
          <w:sz w:val="16"/>
          <w:szCs w:val="16"/>
        </w:rPr>
      </w:pPr>
      <w:r>
        <w:rPr>
          <w:rStyle w:val="Refdenotaalpie"/>
          <w:sz w:val="16"/>
          <w:szCs w:val="16"/>
        </w:rPr>
        <w:footnoteRef/>
      </w:r>
      <w:r>
        <w:rPr>
          <w:sz w:val="16"/>
          <w:szCs w:val="16"/>
        </w:rPr>
        <w:t xml:space="preserve"> Decreto 957 de 2019 del Ministerio de Comercio, Industria y Turismo. Disponible en: </w:t>
      </w:r>
      <w:hyperlink r:id="rId8" w:history="1">
        <w:r>
          <w:rPr>
            <w:rStyle w:val="Hipervnculo"/>
            <w:sz w:val="16"/>
            <w:szCs w:val="16"/>
          </w:rPr>
          <w:t>https://dapre.presidencia.gov.co/normativa/normativa/DECRETO%20957%20DEL%2005%20DE%20JUNIO%20DE%202019.pdf</w:t>
        </w:r>
      </w:hyperlink>
      <w:r>
        <w:rPr>
          <w:sz w:val="16"/>
          <w:szCs w:val="16"/>
        </w:rPr>
        <w:t xml:space="preserve"> </w:t>
      </w:r>
    </w:p>
  </w:footnote>
  <w:footnote w:id="14">
    <w:p w14:paraId="4E1E5672" w14:textId="77777777" w:rsidR="005F2C03" w:rsidRDefault="005F2C03" w:rsidP="005F2C03">
      <w:pPr>
        <w:spacing w:line="240" w:lineRule="atLeast"/>
        <w:ind w:hanging="2"/>
        <w:jc w:val="both"/>
        <w:rPr>
          <w:color w:val="000000"/>
          <w:sz w:val="16"/>
          <w:szCs w:val="16"/>
        </w:rPr>
      </w:pPr>
      <w:r>
        <w:rPr>
          <w:szCs w:val="16"/>
          <w:vertAlign w:val="superscript"/>
        </w:rPr>
        <w:footnoteRef/>
      </w:r>
      <w:r>
        <w:rPr>
          <w:color w:val="000000"/>
          <w:szCs w:val="16"/>
        </w:rPr>
        <w:t xml:space="preserve"> </w:t>
      </w:r>
      <w:r>
        <w:rPr>
          <w:i/>
          <w:color w:val="000000"/>
          <w:szCs w:val="16"/>
        </w:rPr>
        <w:t>"Por medio del cual se impulsa el emprendimiento en Colombia"</w:t>
      </w:r>
    </w:p>
  </w:footnote>
  <w:footnote w:id="15">
    <w:p w14:paraId="7CE7303F" w14:textId="77777777" w:rsidR="005F2C03" w:rsidRDefault="005F2C03" w:rsidP="005F2C03">
      <w:pPr>
        <w:pStyle w:val="Textonotapie"/>
        <w:rPr>
          <w:rFonts w:ascii="Times New Roman" w:hAnsi="Times New Roman"/>
        </w:rPr>
      </w:pPr>
      <w:r>
        <w:rPr>
          <w:rStyle w:val="Refdenotaalpie"/>
          <w:sz w:val="16"/>
          <w:szCs w:val="16"/>
        </w:rPr>
        <w:footnoteRef/>
      </w:r>
      <w:r>
        <w:rPr>
          <w:sz w:val="16"/>
          <w:szCs w:val="16"/>
        </w:rPr>
        <w:t xml:space="preserve"> </w:t>
      </w:r>
      <w:r>
        <w:rPr>
          <w:sz w:val="16"/>
          <w:szCs w:val="16"/>
          <w:lang w:val="es-MX"/>
        </w:rPr>
        <w:t xml:space="preserve">Disponible en: </w:t>
      </w:r>
      <w:hyperlink r:id="rId9" w:history="1">
        <w:r>
          <w:rPr>
            <w:rStyle w:val="Hipervnculo"/>
          </w:rPr>
          <w:t>https://www.superfinanciera.gov.co/publicaciones/10112568/informes-y-cifrascomposicion-por-genero-de-la-alta-gerencia-y-organismos-de-control-en-las-entidades-vigiladas-10112568/</w:t>
        </w:r>
      </w:hyperlink>
    </w:p>
    <w:p w14:paraId="4C32E31D" w14:textId="77777777" w:rsidR="005F2C03" w:rsidRDefault="005F2C03" w:rsidP="005F2C03">
      <w:pPr>
        <w:pStyle w:val="Textonotapie"/>
        <w:rPr>
          <w:sz w:val="16"/>
          <w:szCs w:val="16"/>
          <w:lang w:val="es-MX"/>
        </w:rPr>
      </w:pPr>
    </w:p>
  </w:footnote>
  <w:footnote w:id="16">
    <w:p w14:paraId="1D9724C0" w14:textId="77777777" w:rsidR="005F2C03" w:rsidRDefault="005F2C03" w:rsidP="005F2C03">
      <w:pPr>
        <w:pStyle w:val="NormalWeb"/>
        <w:jc w:val="both"/>
        <w:rPr>
          <w:rFonts w:ascii="Arial" w:hAnsi="Arial" w:cs="Arial"/>
          <w:sz w:val="15"/>
          <w:szCs w:val="15"/>
          <w:lang w:eastAsia="es-MX"/>
        </w:rPr>
      </w:pPr>
      <w:r>
        <w:rPr>
          <w:rStyle w:val="Refdenotaalpie"/>
          <w:rFonts w:eastAsia="Arial"/>
          <w:sz w:val="15"/>
          <w:szCs w:val="15"/>
        </w:rPr>
        <w:footnoteRef/>
      </w:r>
      <w:r>
        <w:rPr>
          <w:rFonts w:ascii="Arial" w:hAnsi="Arial" w:cs="Arial"/>
          <w:sz w:val="15"/>
          <w:szCs w:val="15"/>
        </w:rPr>
        <w:t xml:space="preserve"> </w:t>
      </w:r>
      <w:r>
        <w:rPr>
          <w:rFonts w:ascii="Arial" w:hAnsi="Arial" w:cs="Arial"/>
          <w:b/>
          <w:bCs/>
          <w:sz w:val="15"/>
          <w:szCs w:val="15"/>
          <w:lang w:eastAsia="es-MX"/>
        </w:rPr>
        <w:t>CAPÍTULO. XI. ENTIDADES ASEGURADORAS, Artículo 39o, “</w:t>
      </w:r>
      <w:r>
        <w:rPr>
          <w:rFonts w:ascii="Arial" w:hAnsi="Arial" w:cs="Arial"/>
          <w:sz w:val="15"/>
          <w:szCs w:val="15"/>
          <w:lang w:eastAsia="es-MX"/>
        </w:rPr>
        <w:t xml:space="preserve">Personas no Autorizadas. </w:t>
      </w:r>
      <w:r>
        <w:rPr>
          <w:rFonts w:ascii="Arial" w:hAnsi="Arial" w:cs="Arial"/>
          <w:color w:val="0000FF"/>
          <w:sz w:val="15"/>
          <w:szCs w:val="15"/>
          <w:lang w:eastAsia="es-MX"/>
        </w:rPr>
        <w:t>Modificado por el art. 61, Ley 1328 de 2009</w:t>
      </w:r>
      <w:r>
        <w:rPr>
          <w:rFonts w:ascii="Arial" w:hAnsi="Arial" w:cs="Arial"/>
          <w:sz w:val="15"/>
          <w:szCs w:val="15"/>
          <w:lang w:eastAsia="es-MX"/>
        </w:rPr>
        <w:t xml:space="preserve">. </w:t>
      </w:r>
      <w:r>
        <w:rPr>
          <w:rFonts w:ascii="Arial" w:hAnsi="Arial" w:cs="Arial"/>
          <w:b/>
          <w:bCs/>
          <w:sz w:val="15"/>
          <w:szCs w:val="15"/>
          <w:lang w:eastAsia="es-MX"/>
        </w:rPr>
        <w:t xml:space="preserve">El nuevo texto es el siguiente: </w:t>
      </w:r>
      <w:r>
        <w:rPr>
          <w:rFonts w:ascii="Arial" w:hAnsi="Arial" w:cs="Arial"/>
          <w:sz w:val="15"/>
          <w:szCs w:val="15"/>
          <w:lang w:eastAsia="es-MX"/>
        </w:rPr>
        <w:t xml:space="preserve">Salvo lo previsto en los parágrafos del presente artículo, queda prohibido celebrar en el territorio nacional operaciones de seguros con entidades extranjeras no autorizadas para desarrollar la actividad aseguradora en Colombia o hacerlo con agentes o representantes que trabajen para las mismas. Las personas naturales o jurídicas que contravengan lo dispuesto en el presente artículo quedarán sujetas a las sanciones previstas en el artículo 208 del presente Estatuto. Parágrafo 1. Las compañías de seguros del exterior podrán ofrecer en el territorio colombiano o a sus residentes, única y exclusivamente, seguros asociados al transporte marítimo internacional, la aviación comercial internacional y el lanzamiento y transporte espacial (incluyendo satélites), que amparen los riesgos vinculados a las mercancías objeto de transporte, el vehículo que transporte las mercancías y la responsabilidad civil que pueda derivarse de los mismos, así́ como seguros que amparen mercancías en tránsito internacional. La Superintendencia Financiera de Colombia podrá́ establecer la obligatoriedad del registro de las compañías de seguros del exterior que pretendan ofrecer estos seguros en el territorio nacional o a sus residentes. Salvo lo previsto en el presente parágrafo, las compañías de seguros del exterior no podrán ofrecer, promocionar o hacer publicidad de sus servicios en el territorio colombiano o a sus residentes” </w:t>
      </w:r>
    </w:p>
    <w:p w14:paraId="4A69A401" w14:textId="77777777" w:rsidR="005F2C03" w:rsidRDefault="005F2C03" w:rsidP="005F2C03">
      <w:pPr>
        <w:pStyle w:val="Textonotapie"/>
        <w:rPr>
          <w:rFonts w:ascii="Times New Roman" w:hAnsi="Times New Roman" w:cs="Times New Roman"/>
          <w:lang w:eastAsia="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32B87" w14:textId="65045ADB" w:rsidR="00537927" w:rsidRDefault="00126D15" w:rsidP="0053405F">
    <w:pPr>
      <w:pStyle w:val="Encabezado"/>
    </w:pPr>
    <w:r>
      <w:rPr>
        <w:rFonts w:ascii="Arial" w:hAnsi="Arial" w:cs="Arial"/>
        <w:noProof/>
        <w:lang w:val="es-CO" w:eastAsia="es-CO"/>
      </w:rPr>
      <w:drawing>
        <wp:anchor distT="0" distB="0" distL="114300" distR="114300" simplePos="0" relativeHeight="251667456" behindDoc="1" locked="0" layoutInCell="1" allowOverlap="1" wp14:anchorId="731E700D" wp14:editId="5E59E71B">
          <wp:simplePos x="0" y="0"/>
          <wp:positionH relativeFrom="margin">
            <wp:align>left</wp:align>
          </wp:positionH>
          <wp:positionV relativeFrom="page">
            <wp:posOffset>448734</wp:posOffset>
          </wp:positionV>
          <wp:extent cx="1562100" cy="922920"/>
          <wp:effectExtent l="0" t="0" r="0" b="0"/>
          <wp:wrapNone/>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9229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E26F0" w14:textId="37DBA349" w:rsidR="000F51F3" w:rsidRDefault="000F51F3">
    <w:pPr>
      <w:pStyle w:val="Encabezado"/>
    </w:pPr>
    <w:r>
      <w:rPr>
        <w:rFonts w:ascii="Arial" w:hAnsi="Arial" w:cs="Arial"/>
        <w:noProof/>
        <w:lang w:val="es-CO" w:eastAsia="es-CO"/>
      </w:rPr>
      <w:drawing>
        <wp:anchor distT="0" distB="0" distL="114300" distR="114300" simplePos="0" relativeHeight="251665408" behindDoc="1" locked="0" layoutInCell="1" allowOverlap="1" wp14:anchorId="0013F646" wp14:editId="1F09B27F">
          <wp:simplePos x="0" y="0"/>
          <wp:positionH relativeFrom="page">
            <wp:posOffset>813435</wp:posOffset>
          </wp:positionH>
          <wp:positionV relativeFrom="topMargin">
            <wp:align>bottom</wp:align>
          </wp:positionV>
          <wp:extent cx="1950720" cy="11525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1525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F0DC4"/>
    <w:multiLevelType w:val="hybridMultilevel"/>
    <w:tmpl w:val="3A60ED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A447E45"/>
    <w:multiLevelType w:val="hybridMultilevel"/>
    <w:tmpl w:val="D7989CEA"/>
    <w:lvl w:ilvl="0" w:tplc="9B64D368">
      <w:numFmt w:val="bullet"/>
      <w:lvlText w:val="-"/>
      <w:lvlJc w:val="left"/>
      <w:pPr>
        <w:ind w:left="720" w:hanging="360"/>
      </w:pPr>
      <w:rPr>
        <w:rFonts w:ascii="Arial" w:eastAsia="Times New Roman" w:hAnsi="Arial" w:cs="Arial" w:hint="default"/>
        <w:b/>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896C51"/>
    <w:multiLevelType w:val="hybridMultilevel"/>
    <w:tmpl w:val="8188C74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0AF33E57"/>
    <w:multiLevelType w:val="hybridMultilevel"/>
    <w:tmpl w:val="AD1CA4F4"/>
    <w:lvl w:ilvl="0" w:tplc="9160BB14">
      <w:start w:val="7"/>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1941CB6"/>
    <w:multiLevelType w:val="hybridMultilevel"/>
    <w:tmpl w:val="360A7BFE"/>
    <w:lvl w:ilvl="0" w:tplc="240A0001">
      <w:numFmt w:val="decimal"/>
      <w:lvlText w:val=""/>
      <w:lvlJc w:val="left"/>
      <w:pPr>
        <w:ind w:left="720" w:hanging="360"/>
      </w:pPr>
      <w:rPr>
        <w:rFonts w:ascii="Symbol" w:hAnsi="Symbol" w:hint="default"/>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9772710"/>
    <w:multiLevelType w:val="hybridMultilevel"/>
    <w:tmpl w:val="8E9A39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77020F"/>
    <w:multiLevelType w:val="hybridMultilevel"/>
    <w:tmpl w:val="C7382736"/>
    <w:lvl w:ilvl="0" w:tplc="7F6CBD3E">
      <w:numFmt w:val="bullet"/>
      <w:lvlText w:val="-"/>
      <w:lvlJc w:val="left"/>
      <w:pPr>
        <w:ind w:left="360" w:hanging="360"/>
      </w:pPr>
      <w:rPr>
        <w:rFonts w:ascii="Arial Narrow" w:eastAsia="Times New Roman" w:hAnsi="Arial Narrow"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2F396ABB"/>
    <w:multiLevelType w:val="multilevel"/>
    <w:tmpl w:val="B9789ED0"/>
    <w:lvl w:ilvl="0">
      <w:start w:val="1"/>
      <w:numFmt w:val="decimal"/>
      <w:lvlText w:val="%1."/>
      <w:lvlJc w:val="left"/>
      <w:pPr>
        <w:ind w:left="360" w:hanging="360"/>
      </w:pPr>
      <w:rPr>
        <w:color w:val="FFFFFF"/>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F580A40"/>
    <w:multiLevelType w:val="hybridMultilevel"/>
    <w:tmpl w:val="91D63DC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31E8439D"/>
    <w:multiLevelType w:val="hybridMultilevel"/>
    <w:tmpl w:val="2620248E"/>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322317E7"/>
    <w:multiLevelType w:val="hybridMultilevel"/>
    <w:tmpl w:val="5C36DAC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36B2100B"/>
    <w:multiLevelType w:val="hybridMultilevel"/>
    <w:tmpl w:val="434E9BD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3724306B"/>
    <w:multiLevelType w:val="hybridMultilevel"/>
    <w:tmpl w:val="6E005734"/>
    <w:lvl w:ilvl="0" w:tplc="BC440E88">
      <w:start w:val="1"/>
      <w:numFmt w:val="low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39F8223D"/>
    <w:multiLevelType w:val="hybridMultilevel"/>
    <w:tmpl w:val="8112370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4C0939D7"/>
    <w:multiLevelType w:val="hybridMultilevel"/>
    <w:tmpl w:val="B0460B4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59DD442F"/>
    <w:multiLevelType w:val="hybridMultilevel"/>
    <w:tmpl w:val="1584ADB8"/>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61E42ED0"/>
    <w:multiLevelType w:val="hybridMultilevel"/>
    <w:tmpl w:val="91DC357C"/>
    <w:lvl w:ilvl="0" w:tplc="240A000D">
      <w:numFmt w:val="decimal"/>
      <w:lvlText w:val=""/>
      <w:lvlJc w:val="left"/>
      <w:pPr>
        <w:ind w:left="927"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7" w15:restartNumberingAfterBreak="0">
    <w:nsid w:val="638C4277"/>
    <w:multiLevelType w:val="hybridMultilevel"/>
    <w:tmpl w:val="810ACE54"/>
    <w:lvl w:ilvl="0" w:tplc="0BCE4BE2">
      <w:start w:val="2"/>
      <w:numFmt w:val="lowerLetter"/>
      <w:lvlText w:val="%1."/>
      <w:lvlJc w:val="left"/>
      <w:pPr>
        <w:ind w:left="720" w:hanging="360"/>
      </w:pPr>
      <w:rPr>
        <w:b/>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496145E"/>
    <w:multiLevelType w:val="hybridMultilevel"/>
    <w:tmpl w:val="F92CC1C0"/>
    <w:lvl w:ilvl="0" w:tplc="4380138A">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E005173"/>
    <w:multiLevelType w:val="hybridMultilevel"/>
    <w:tmpl w:val="DF020D2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6E9062D6"/>
    <w:multiLevelType w:val="hybridMultilevel"/>
    <w:tmpl w:val="91DC357C"/>
    <w:lvl w:ilvl="0" w:tplc="240A000D">
      <w:numFmt w:val="decimal"/>
      <w:lvlText w:val=""/>
      <w:lvlJc w:val="left"/>
      <w:pPr>
        <w:ind w:left="927"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1" w15:restartNumberingAfterBreak="0">
    <w:nsid w:val="785B193E"/>
    <w:multiLevelType w:val="hybridMultilevel"/>
    <w:tmpl w:val="22800972"/>
    <w:lvl w:ilvl="0" w:tplc="240A0005">
      <w:start w:val="1"/>
      <w:numFmt w:val="bullet"/>
      <w:lvlText w:val=""/>
      <w:lvlJc w:val="left"/>
      <w:pPr>
        <w:ind w:left="582" w:hanging="360"/>
      </w:pPr>
      <w:rPr>
        <w:rFonts w:ascii="Wingdings" w:hAnsi="Wingdings" w:hint="default"/>
        <w:b/>
      </w:rPr>
    </w:lvl>
    <w:lvl w:ilvl="1" w:tplc="9FB2FB02">
      <w:start w:val="1"/>
      <w:numFmt w:val="lowerLetter"/>
      <w:lvlText w:val="%2."/>
      <w:lvlJc w:val="left"/>
      <w:pPr>
        <w:ind w:left="1211" w:hanging="360"/>
      </w:pPr>
      <w:rPr>
        <w:b/>
        <w:bCs/>
      </w:rPr>
    </w:lvl>
    <w:lvl w:ilvl="2" w:tplc="FFFFFFFF">
      <w:start w:val="1"/>
      <w:numFmt w:val="lowerRoman"/>
      <w:lvlText w:val="%3."/>
      <w:lvlJc w:val="right"/>
      <w:pPr>
        <w:ind w:left="2022" w:hanging="180"/>
      </w:pPr>
    </w:lvl>
    <w:lvl w:ilvl="3" w:tplc="FFFFFFFF">
      <w:start w:val="1"/>
      <w:numFmt w:val="decimal"/>
      <w:lvlText w:val="%4."/>
      <w:lvlJc w:val="left"/>
      <w:pPr>
        <w:ind w:left="2742" w:hanging="360"/>
      </w:pPr>
    </w:lvl>
    <w:lvl w:ilvl="4" w:tplc="FFFFFFFF">
      <w:start w:val="1"/>
      <w:numFmt w:val="lowerLetter"/>
      <w:lvlText w:val="%5."/>
      <w:lvlJc w:val="left"/>
      <w:pPr>
        <w:ind w:left="3462" w:hanging="360"/>
      </w:pPr>
    </w:lvl>
    <w:lvl w:ilvl="5" w:tplc="FFFFFFFF">
      <w:start w:val="1"/>
      <w:numFmt w:val="lowerRoman"/>
      <w:lvlText w:val="%6."/>
      <w:lvlJc w:val="right"/>
      <w:pPr>
        <w:ind w:left="4182" w:hanging="180"/>
      </w:pPr>
    </w:lvl>
    <w:lvl w:ilvl="6" w:tplc="FFFFFFFF">
      <w:start w:val="1"/>
      <w:numFmt w:val="decimal"/>
      <w:lvlText w:val="%7."/>
      <w:lvlJc w:val="left"/>
      <w:pPr>
        <w:ind w:left="4902" w:hanging="360"/>
      </w:pPr>
    </w:lvl>
    <w:lvl w:ilvl="7" w:tplc="FFFFFFFF">
      <w:start w:val="1"/>
      <w:numFmt w:val="lowerLetter"/>
      <w:lvlText w:val="%8."/>
      <w:lvlJc w:val="left"/>
      <w:pPr>
        <w:ind w:left="5622" w:hanging="360"/>
      </w:pPr>
    </w:lvl>
    <w:lvl w:ilvl="8" w:tplc="FFFFFFFF">
      <w:start w:val="1"/>
      <w:numFmt w:val="lowerRoman"/>
      <w:lvlText w:val="%9."/>
      <w:lvlJc w:val="right"/>
      <w:pPr>
        <w:ind w:left="6342" w:hanging="180"/>
      </w:pPr>
    </w:lvl>
  </w:abstractNum>
  <w:abstractNum w:abstractNumId="22" w15:restartNumberingAfterBreak="0">
    <w:nsid w:val="7F0F2AA2"/>
    <w:multiLevelType w:val="hybridMultilevel"/>
    <w:tmpl w:val="A6523E1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48450038">
    <w:abstractNumId w:val="3"/>
  </w:num>
  <w:num w:numId="2" w16cid:durableId="52317738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01065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326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29504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51129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20423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75259">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6154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8285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1485523">
    <w:abstractNumId w:val="1"/>
  </w:num>
  <w:num w:numId="12" w16cid:durableId="364059609">
    <w:abstractNumId w:val="6"/>
  </w:num>
  <w:num w:numId="13" w16cid:durableId="10907364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25476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7013">
    <w:abstractNumId w:val="5"/>
  </w:num>
  <w:num w:numId="16" w16cid:durableId="1258060082">
    <w:abstractNumId w:val="19"/>
  </w:num>
  <w:num w:numId="17" w16cid:durableId="20883841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6153573">
    <w:abstractNumId w:val="22"/>
  </w:num>
  <w:num w:numId="19" w16cid:durableId="139697456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909025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8405454">
    <w:abstractNumId w:val="4"/>
  </w:num>
  <w:num w:numId="22" w16cid:durableId="8761620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27794839">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F"/>
    <w:rsid w:val="00004D37"/>
    <w:rsid w:val="00014195"/>
    <w:rsid w:val="00017946"/>
    <w:rsid w:val="00021B57"/>
    <w:rsid w:val="00022C6A"/>
    <w:rsid w:val="00023AEA"/>
    <w:rsid w:val="00024067"/>
    <w:rsid w:val="00027138"/>
    <w:rsid w:val="00033A11"/>
    <w:rsid w:val="0004337E"/>
    <w:rsid w:val="00043C58"/>
    <w:rsid w:val="0004615B"/>
    <w:rsid w:val="00052E16"/>
    <w:rsid w:val="00063D7F"/>
    <w:rsid w:val="00074772"/>
    <w:rsid w:val="000813A0"/>
    <w:rsid w:val="0008534D"/>
    <w:rsid w:val="00093A78"/>
    <w:rsid w:val="00093AC4"/>
    <w:rsid w:val="000A2908"/>
    <w:rsid w:val="000A5056"/>
    <w:rsid w:val="000A5DDD"/>
    <w:rsid w:val="000B0FB9"/>
    <w:rsid w:val="000B6E0D"/>
    <w:rsid w:val="000C3B3D"/>
    <w:rsid w:val="000C3D96"/>
    <w:rsid w:val="000C79BB"/>
    <w:rsid w:val="000D5115"/>
    <w:rsid w:val="000E187C"/>
    <w:rsid w:val="000E321D"/>
    <w:rsid w:val="000E4B4B"/>
    <w:rsid w:val="000F2722"/>
    <w:rsid w:val="000F51F3"/>
    <w:rsid w:val="00110593"/>
    <w:rsid w:val="0011141A"/>
    <w:rsid w:val="00126D15"/>
    <w:rsid w:val="0013030E"/>
    <w:rsid w:val="001325BF"/>
    <w:rsid w:val="00140686"/>
    <w:rsid w:val="00140971"/>
    <w:rsid w:val="001415AA"/>
    <w:rsid w:val="00142738"/>
    <w:rsid w:val="001429C3"/>
    <w:rsid w:val="001448A5"/>
    <w:rsid w:val="0014758F"/>
    <w:rsid w:val="00150CAD"/>
    <w:rsid w:val="00157B6E"/>
    <w:rsid w:val="00160F21"/>
    <w:rsid w:val="00163AB2"/>
    <w:rsid w:val="00164E95"/>
    <w:rsid w:val="00165084"/>
    <w:rsid w:val="00170444"/>
    <w:rsid w:val="0017095C"/>
    <w:rsid w:val="00173671"/>
    <w:rsid w:val="00173968"/>
    <w:rsid w:val="00174E53"/>
    <w:rsid w:val="00177847"/>
    <w:rsid w:val="00184430"/>
    <w:rsid w:val="00192C6C"/>
    <w:rsid w:val="001A121F"/>
    <w:rsid w:val="001A23CB"/>
    <w:rsid w:val="001A6F50"/>
    <w:rsid w:val="001A7050"/>
    <w:rsid w:val="001B15B9"/>
    <w:rsid w:val="001B26FD"/>
    <w:rsid w:val="001B2892"/>
    <w:rsid w:val="001B538B"/>
    <w:rsid w:val="001D02A1"/>
    <w:rsid w:val="001D1CCE"/>
    <w:rsid w:val="001D21F6"/>
    <w:rsid w:val="001D3A92"/>
    <w:rsid w:val="001D5150"/>
    <w:rsid w:val="001E1A61"/>
    <w:rsid w:val="001F5598"/>
    <w:rsid w:val="001F631A"/>
    <w:rsid w:val="00205CED"/>
    <w:rsid w:val="00210E9F"/>
    <w:rsid w:val="002119FC"/>
    <w:rsid w:val="00223A77"/>
    <w:rsid w:val="002355D3"/>
    <w:rsid w:val="002506AE"/>
    <w:rsid w:val="00252EB2"/>
    <w:rsid w:val="00252F18"/>
    <w:rsid w:val="002535A3"/>
    <w:rsid w:val="00261ABC"/>
    <w:rsid w:val="00262AD3"/>
    <w:rsid w:val="00275C57"/>
    <w:rsid w:val="002850E5"/>
    <w:rsid w:val="00293832"/>
    <w:rsid w:val="002939F2"/>
    <w:rsid w:val="002958BE"/>
    <w:rsid w:val="00297F55"/>
    <w:rsid w:val="002A05E4"/>
    <w:rsid w:val="002A2548"/>
    <w:rsid w:val="002A57AC"/>
    <w:rsid w:val="002A58EA"/>
    <w:rsid w:val="002B1ADF"/>
    <w:rsid w:val="002B7D6B"/>
    <w:rsid w:val="002C2C0B"/>
    <w:rsid w:val="002C43B5"/>
    <w:rsid w:val="002C7CD5"/>
    <w:rsid w:val="002D2C3A"/>
    <w:rsid w:val="002E01FB"/>
    <w:rsid w:val="002F3678"/>
    <w:rsid w:val="002F3AF7"/>
    <w:rsid w:val="002F7F87"/>
    <w:rsid w:val="00304DDB"/>
    <w:rsid w:val="0030716A"/>
    <w:rsid w:val="0031296A"/>
    <w:rsid w:val="0031730E"/>
    <w:rsid w:val="0031777C"/>
    <w:rsid w:val="00323378"/>
    <w:rsid w:val="00333D18"/>
    <w:rsid w:val="003447E7"/>
    <w:rsid w:val="003462B3"/>
    <w:rsid w:val="00351B2A"/>
    <w:rsid w:val="00363EED"/>
    <w:rsid w:val="0037233C"/>
    <w:rsid w:val="00374C87"/>
    <w:rsid w:val="00385F88"/>
    <w:rsid w:val="003908CF"/>
    <w:rsid w:val="003A4124"/>
    <w:rsid w:val="003B1C12"/>
    <w:rsid w:val="003C1642"/>
    <w:rsid w:val="003C76DE"/>
    <w:rsid w:val="003D6901"/>
    <w:rsid w:val="003E06F0"/>
    <w:rsid w:val="003E2650"/>
    <w:rsid w:val="003E5E17"/>
    <w:rsid w:val="003E6191"/>
    <w:rsid w:val="003F0FBE"/>
    <w:rsid w:val="004065B3"/>
    <w:rsid w:val="00411F24"/>
    <w:rsid w:val="0041675F"/>
    <w:rsid w:val="004218C3"/>
    <w:rsid w:val="004271AD"/>
    <w:rsid w:val="00430503"/>
    <w:rsid w:val="00434135"/>
    <w:rsid w:val="00446928"/>
    <w:rsid w:val="00447164"/>
    <w:rsid w:val="004511F0"/>
    <w:rsid w:val="00456210"/>
    <w:rsid w:val="00457829"/>
    <w:rsid w:val="00460A8E"/>
    <w:rsid w:val="0046204D"/>
    <w:rsid w:val="004647C1"/>
    <w:rsid w:val="00465DFB"/>
    <w:rsid w:val="00467CE5"/>
    <w:rsid w:val="00471F65"/>
    <w:rsid w:val="00474011"/>
    <w:rsid w:val="00475560"/>
    <w:rsid w:val="0048558F"/>
    <w:rsid w:val="00485A86"/>
    <w:rsid w:val="00490A48"/>
    <w:rsid w:val="00491EEB"/>
    <w:rsid w:val="004933E8"/>
    <w:rsid w:val="004A0DD3"/>
    <w:rsid w:val="004A12A1"/>
    <w:rsid w:val="004A16D2"/>
    <w:rsid w:val="004A408F"/>
    <w:rsid w:val="004C13D9"/>
    <w:rsid w:val="004C2D0A"/>
    <w:rsid w:val="004D7840"/>
    <w:rsid w:val="004D7B17"/>
    <w:rsid w:val="004D7DC6"/>
    <w:rsid w:val="004D7FAA"/>
    <w:rsid w:val="004E28AE"/>
    <w:rsid w:val="004E710A"/>
    <w:rsid w:val="004E7387"/>
    <w:rsid w:val="004F4B64"/>
    <w:rsid w:val="004F4C2C"/>
    <w:rsid w:val="004F664A"/>
    <w:rsid w:val="004F7A7A"/>
    <w:rsid w:val="005003FD"/>
    <w:rsid w:val="00506B9C"/>
    <w:rsid w:val="00507DD2"/>
    <w:rsid w:val="005100D1"/>
    <w:rsid w:val="00516E37"/>
    <w:rsid w:val="00517E3E"/>
    <w:rsid w:val="00527F97"/>
    <w:rsid w:val="005319D6"/>
    <w:rsid w:val="00532F38"/>
    <w:rsid w:val="0053405F"/>
    <w:rsid w:val="00537927"/>
    <w:rsid w:val="00544287"/>
    <w:rsid w:val="00544372"/>
    <w:rsid w:val="00550690"/>
    <w:rsid w:val="00551038"/>
    <w:rsid w:val="005529F0"/>
    <w:rsid w:val="0056433F"/>
    <w:rsid w:val="00567FA1"/>
    <w:rsid w:val="00582BD8"/>
    <w:rsid w:val="0058329F"/>
    <w:rsid w:val="00584881"/>
    <w:rsid w:val="00586C73"/>
    <w:rsid w:val="0058799F"/>
    <w:rsid w:val="0059782C"/>
    <w:rsid w:val="005A0439"/>
    <w:rsid w:val="005A0D22"/>
    <w:rsid w:val="005A1957"/>
    <w:rsid w:val="005A2B3E"/>
    <w:rsid w:val="005A3206"/>
    <w:rsid w:val="005A4108"/>
    <w:rsid w:val="005A5635"/>
    <w:rsid w:val="005B320F"/>
    <w:rsid w:val="005B4239"/>
    <w:rsid w:val="005C4CB3"/>
    <w:rsid w:val="005E39AD"/>
    <w:rsid w:val="005F2C03"/>
    <w:rsid w:val="005F2D4B"/>
    <w:rsid w:val="005F359C"/>
    <w:rsid w:val="005F4159"/>
    <w:rsid w:val="005F73F4"/>
    <w:rsid w:val="00601DEF"/>
    <w:rsid w:val="00602F33"/>
    <w:rsid w:val="006042DC"/>
    <w:rsid w:val="00607BD8"/>
    <w:rsid w:val="006137CB"/>
    <w:rsid w:val="00614256"/>
    <w:rsid w:val="0062024B"/>
    <w:rsid w:val="0063189B"/>
    <w:rsid w:val="00631DE0"/>
    <w:rsid w:val="006466D5"/>
    <w:rsid w:val="0065053D"/>
    <w:rsid w:val="00653AC8"/>
    <w:rsid w:val="0066282A"/>
    <w:rsid w:val="006703D0"/>
    <w:rsid w:val="006771DB"/>
    <w:rsid w:val="00680297"/>
    <w:rsid w:val="00682959"/>
    <w:rsid w:val="00683FC4"/>
    <w:rsid w:val="00695796"/>
    <w:rsid w:val="006A180D"/>
    <w:rsid w:val="006A3E47"/>
    <w:rsid w:val="006A4218"/>
    <w:rsid w:val="006A4529"/>
    <w:rsid w:val="006B2309"/>
    <w:rsid w:val="006B5C78"/>
    <w:rsid w:val="006C1C8F"/>
    <w:rsid w:val="006C68DE"/>
    <w:rsid w:val="006E7F42"/>
    <w:rsid w:val="006F45C6"/>
    <w:rsid w:val="006F5457"/>
    <w:rsid w:val="006F70DA"/>
    <w:rsid w:val="00703B4D"/>
    <w:rsid w:val="00724DF1"/>
    <w:rsid w:val="0072578A"/>
    <w:rsid w:val="00726677"/>
    <w:rsid w:val="00726D61"/>
    <w:rsid w:val="007278E7"/>
    <w:rsid w:val="00743428"/>
    <w:rsid w:val="00751307"/>
    <w:rsid w:val="0075309F"/>
    <w:rsid w:val="00755C69"/>
    <w:rsid w:val="00755C97"/>
    <w:rsid w:val="00760598"/>
    <w:rsid w:val="00761C53"/>
    <w:rsid w:val="00766B40"/>
    <w:rsid w:val="007725D4"/>
    <w:rsid w:val="0077428F"/>
    <w:rsid w:val="00774F70"/>
    <w:rsid w:val="00777890"/>
    <w:rsid w:val="00794651"/>
    <w:rsid w:val="00794A79"/>
    <w:rsid w:val="007A3A85"/>
    <w:rsid w:val="007B2811"/>
    <w:rsid w:val="007B32C3"/>
    <w:rsid w:val="007B3A70"/>
    <w:rsid w:val="007B556F"/>
    <w:rsid w:val="007C166D"/>
    <w:rsid w:val="007C73BB"/>
    <w:rsid w:val="007C76D0"/>
    <w:rsid w:val="007D078B"/>
    <w:rsid w:val="007D28F5"/>
    <w:rsid w:val="007D60B2"/>
    <w:rsid w:val="007E2627"/>
    <w:rsid w:val="007E2B0B"/>
    <w:rsid w:val="007F2738"/>
    <w:rsid w:val="007F7BDF"/>
    <w:rsid w:val="00804579"/>
    <w:rsid w:val="00811F8D"/>
    <w:rsid w:val="008204F7"/>
    <w:rsid w:val="008224DA"/>
    <w:rsid w:val="008245E9"/>
    <w:rsid w:val="00826CAE"/>
    <w:rsid w:val="00827A38"/>
    <w:rsid w:val="008404BD"/>
    <w:rsid w:val="00841316"/>
    <w:rsid w:val="008514F5"/>
    <w:rsid w:val="00851D22"/>
    <w:rsid w:val="008523E6"/>
    <w:rsid w:val="00854C16"/>
    <w:rsid w:val="00855A55"/>
    <w:rsid w:val="00863A7F"/>
    <w:rsid w:val="0087222B"/>
    <w:rsid w:val="00874374"/>
    <w:rsid w:val="008746F2"/>
    <w:rsid w:val="008828B1"/>
    <w:rsid w:val="008932C7"/>
    <w:rsid w:val="008A0C91"/>
    <w:rsid w:val="008A49B0"/>
    <w:rsid w:val="008A5E44"/>
    <w:rsid w:val="008B4C05"/>
    <w:rsid w:val="008C697B"/>
    <w:rsid w:val="008D78F6"/>
    <w:rsid w:val="008D7FFB"/>
    <w:rsid w:val="008E2FAC"/>
    <w:rsid w:val="008F0295"/>
    <w:rsid w:val="008F4902"/>
    <w:rsid w:val="008F586C"/>
    <w:rsid w:val="008F73FA"/>
    <w:rsid w:val="0090002A"/>
    <w:rsid w:val="009005AB"/>
    <w:rsid w:val="00901B8F"/>
    <w:rsid w:val="009053EE"/>
    <w:rsid w:val="0090795D"/>
    <w:rsid w:val="00911DCB"/>
    <w:rsid w:val="009136C7"/>
    <w:rsid w:val="00915F19"/>
    <w:rsid w:val="009175D6"/>
    <w:rsid w:val="00917F31"/>
    <w:rsid w:val="00920BDF"/>
    <w:rsid w:val="009228C4"/>
    <w:rsid w:val="009260D8"/>
    <w:rsid w:val="009269B6"/>
    <w:rsid w:val="00927807"/>
    <w:rsid w:val="00927D8D"/>
    <w:rsid w:val="00930473"/>
    <w:rsid w:val="009415C5"/>
    <w:rsid w:val="00946160"/>
    <w:rsid w:val="0095087F"/>
    <w:rsid w:val="00956AD2"/>
    <w:rsid w:val="00963EB9"/>
    <w:rsid w:val="00963F9C"/>
    <w:rsid w:val="009722B6"/>
    <w:rsid w:val="00974C8F"/>
    <w:rsid w:val="009874F6"/>
    <w:rsid w:val="00990E60"/>
    <w:rsid w:val="00993395"/>
    <w:rsid w:val="009953D6"/>
    <w:rsid w:val="009A0066"/>
    <w:rsid w:val="009A0988"/>
    <w:rsid w:val="009A265A"/>
    <w:rsid w:val="009A7CDB"/>
    <w:rsid w:val="009B2E08"/>
    <w:rsid w:val="009B6EBF"/>
    <w:rsid w:val="009C08FD"/>
    <w:rsid w:val="009C6017"/>
    <w:rsid w:val="009D00CA"/>
    <w:rsid w:val="009E0471"/>
    <w:rsid w:val="009E206F"/>
    <w:rsid w:val="009E646C"/>
    <w:rsid w:val="009E6B22"/>
    <w:rsid w:val="009E7720"/>
    <w:rsid w:val="009F26CE"/>
    <w:rsid w:val="009F6763"/>
    <w:rsid w:val="00A062C0"/>
    <w:rsid w:val="00A11D30"/>
    <w:rsid w:val="00A14763"/>
    <w:rsid w:val="00A15B70"/>
    <w:rsid w:val="00A204A8"/>
    <w:rsid w:val="00A212E2"/>
    <w:rsid w:val="00A24BC3"/>
    <w:rsid w:val="00A264F6"/>
    <w:rsid w:val="00A30C63"/>
    <w:rsid w:val="00A32C3F"/>
    <w:rsid w:val="00A33457"/>
    <w:rsid w:val="00A35204"/>
    <w:rsid w:val="00A401E2"/>
    <w:rsid w:val="00A4115D"/>
    <w:rsid w:val="00A411D9"/>
    <w:rsid w:val="00A44BDC"/>
    <w:rsid w:val="00A52596"/>
    <w:rsid w:val="00A537EF"/>
    <w:rsid w:val="00A55B17"/>
    <w:rsid w:val="00A57109"/>
    <w:rsid w:val="00A60EF0"/>
    <w:rsid w:val="00A60F1F"/>
    <w:rsid w:val="00A63A5E"/>
    <w:rsid w:val="00A67FF1"/>
    <w:rsid w:val="00A70CB0"/>
    <w:rsid w:val="00A751F2"/>
    <w:rsid w:val="00A7609D"/>
    <w:rsid w:val="00A83180"/>
    <w:rsid w:val="00A87838"/>
    <w:rsid w:val="00A921F7"/>
    <w:rsid w:val="00A93A4C"/>
    <w:rsid w:val="00AA108B"/>
    <w:rsid w:val="00AA4D05"/>
    <w:rsid w:val="00AB3BB9"/>
    <w:rsid w:val="00AB6593"/>
    <w:rsid w:val="00AB7F27"/>
    <w:rsid w:val="00AC1E14"/>
    <w:rsid w:val="00AC3D72"/>
    <w:rsid w:val="00AE3EDC"/>
    <w:rsid w:val="00AE716C"/>
    <w:rsid w:val="00AE7543"/>
    <w:rsid w:val="00AF3596"/>
    <w:rsid w:val="00AF60E2"/>
    <w:rsid w:val="00B00D5B"/>
    <w:rsid w:val="00B0153B"/>
    <w:rsid w:val="00B03043"/>
    <w:rsid w:val="00B07A54"/>
    <w:rsid w:val="00B31E7D"/>
    <w:rsid w:val="00B525B9"/>
    <w:rsid w:val="00B5375D"/>
    <w:rsid w:val="00B61627"/>
    <w:rsid w:val="00B65398"/>
    <w:rsid w:val="00B654E5"/>
    <w:rsid w:val="00B67EA0"/>
    <w:rsid w:val="00B737D7"/>
    <w:rsid w:val="00B81D2A"/>
    <w:rsid w:val="00B86796"/>
    <w:rsid w:val="00B91D74"/>
    <w:rsid w:val="00B93191"/>
    <w:rsid w:val="00B9436E"/>
    <w:rsid w:val="00BA7F6E"/>
    <w:rsid w:val="00BB0D21"/>
    <w:rsid w:val="00BB1858"/>
    <w:rsid w:val="00BB2096"/>
    <w:rsid w:val="00BC76C1"/>
    <w:rsid w:val="00BD0A42"/>
    <w:rsid w:val="00BD0CA6"/>
    <w:rsid w:val="00BD1115"/>
    <w:rsid w:val="00BD58D9"/>
    <w:rsid w:val="00BD7CAE"/>
    <w:rsid w:val="00BD7D18"/>
    <w:rsid w:val="00BD7EB5"/>
    <w:rsid w:val="00BE3848"/>
    <w:rsid w:val="00BE3865"/>
    <w:rsid w:val="00BE6CAC"/>
    <w:rsid w:val="00BE709D"/>
    <w:rsid w:val="00BF45FF"/>
    <w:rsid w:val="00BF4BC0"/>
    <w:rsid w:val="00BF4FFA"/>
    <w:rsid w:val="00BF5F29"/>
    <w:rsid w:val="00BF6DCD"/>
    <w:rsid w:val="00C0115E"/>
    <w:rsid w:val="00C14DB2"/>
    <w:rsid w:val="00C2449B"/>
    <w:rsid w:val="00C265B1"/>
    <w:rsid w:val="00C26E6E"/>
    <w:rsid w:val="00C37D0D"/>
    <w:rsid w:val="00C4639A"/>
    <w:rsid w:val="00C52C59"/>
    <w:rsid w:val="00C553F3"/>
    <w:rsid w:val="00C66C0D"/>
    <w:rsid w:val="00C70D0A"/>
    <w:rsid w:val="00C7495E"/>
    <w:rsid w:val="00C806CC"/>
    <w:rsid w:val="00C83E7A"/>
    <w:rsid w:val="00C85375"/>
    <w:rsid w:val="00C86E3B"/>
    <w:rsid w:val="00C8730C"/>
    <w:rsid w:val="00C93989"/>
    <w:rsid w:val="00C93F7E"/>
    <w:rsid w:val="00C974FE"/>
    <w:rsid w:val="00CA0758"/>
    <w:rsid w:val="00CA117D"/>
    <w:rsid w:val="00CA6A63"/>
    <w:rsid w:val="00CB0F0C"/>
    <w:rsid w:val="00CB24E9"/>
    <w:rsid w:val="00CB50E5"/>
    <w:rsid w:val="00CB6AB5"/>
    <w:rsid w:val="00CC07D9"/>
    <w:rsid w:val="00CC0B5C"/>
    <w:rsid w:val="00CC13FD"/>
    <w:rsid w:val="00CC1E07"/>
    <w:rsid w:val="00CC521F"/>
    <w:rsid w:val="00CD09CB"/>
    <w:rsid w:val="00CD684F"/>
    <w:rsid w:val="00CD714B"/>
    <w:rsid w:val="00CE3E8D"/>
    <w:rsid w:val="00CE5537"/>
    <w:rsid w:val="00CF3379"/>
    <w:rsid w:val="00CF3658"/>
    <w:rsid w:val="00CF73E5"/>
    <w:rsid w:val="00D03102"/>
    <w:rsid w:val="00D063B7"/>
    <w:rsid w:val="00D11705"/>
    <w:rsid w:val="00D131AC"/>
    <w:rsid w:val="00D2220F"/>
    <w:rsid w:val="00D2358B"/>
    <w:rsid w:val="00D23A32"/>
    <w:rsid w:val="00D3004F"/>
    <w:rsid w:val="00D34927"/>
    <w:rsid w:val="00D4140B"/>
    <w:rsid w:val="00D44190"/>
    <w:rsid w:val="00D45424"/>
    <w:rsid w:val="00D46784"/>
    <w:rsid w:val="00D467F3"/>
    <w:rsid w:val="00D517C1"/>
    <w:rsid w:val="00D557FE"/>
    <w:rsid w:val="00D55C03"/>
    <w:rsid w:val="00D60464"/>
    <w:rsid w:val="00D64C87"/>
    <w:rsid w:val="00D706CB"/>
    <w:rsid w:val="00D7586F"/>
    <w:rsid w:val="00D77657"/>
    <w:rsid w:val="00D824C1"/>
    <w:rsid w:val="00D86C73"/>
    <w:rsid w:val="00D93130"/>
    <w:rsid w:val="00D9510C"/>
    <w:rsid w:val="00DA0119"/>
    <w:rsid w:val="00DB4ACE"/>
    <w:rsid w:val="00DB669E"/>
    <w:rsid w:val="00DC028E"/>
    <w:rsid w:val="00DD405A"/>
    <w:rsid w:val="00DE61EF"/>
    <w:rsid w:val="00DE73CD"/>
    <w:rsid w:val="00DF1359"/>
    <w:rsid w:val="00DF1BC2"/>
    <w:rsid w:val="00DF3999"/>
    <w:rsid w:val="00DF4A6B"/>
    <w:rsid w:val="00DF4AD4"/>
    <w:rsid w:val="00E027F2"/>
    <w:rsid w:val="00E07AE2"/>
    <w:rsid w:val="00E158E5"/>
    <w:rsid w:val="00E15EA1"/>
    <w:rsid w:val="00E22780"/>
    <w:rsid w:val="00E30A88"/>
    <w:rsid w:val="00E32E16"/>
    <w:rsid w:val="00E36FC3"/>
    <w:rsid w:val="00E6061F"/>
    <w:rsid w:val="00E66975"/>
    <w:rsid w:val="00E6718D"/>
    <w:rsid w:val="00E755A7"/>
    <w:rsid w:val="00E76556"/>
    <w:rsid w:val="00E8089A"/>
    <w:rsid w:val="00E83940"/>
    <w:rsid w:val="00E86B7E"/>
    <w:rsid w:val="00E96EE0"/>
    <w:rsid w:val="00EA25DD"/>
    <w:rsid w:val="00EA401F"/>
    <w:rsid w:val="00EB1FC3"/>
    <w:rsid w:val="00EB25A1"/>
    <w:rsid w:val="00EB37BD"/>
    <w:rsid w:val="00EB4B21"/>
    <w:rsid w:val="00EB4F8E"/>
    <w:rsid w:val="00EB586D"/>
    <w:rsid w:val="00EC10BE"/>
    <w:rsid w:val="00ED0292"/>
    <w:rsid w:val="00ED0308"/>
    <w:rsid w:val="00ED0FAF"/>
    <w:rsid w:val="00ED37C6"/>
    <w:rsid w:val="00ED4DFE"/>
    <w:rsid w:val="00EE1E48"/>
    <w:rsid w:val="00EE5F1F"/>
    <w:rsid w:val="00EF2C44"/>
    <w:rsid w:val="00EF5234"/>
    <w:rsid w:val="00EF7D5A"/>
    <w:rsid w:val="00F00ED4"/>
    <w:rsid w:val="00F01A16"/>
    <w:rsid w:val="00F023B3"/>
    <w:rsid w:val="00F0471F"/>
    <w:rsid w:val="00F04AB6"/>
    <w:rsid w:val="00F07B72"/>
    <w:rsid w:val="00F110C9"/>
    <w:rsid w:val="00F11AEA"/>
    <w:rsid w:val="00F247B4"/>
    <w:rsid w:val="00F26B1F"/>
    <w:rsid w:val="00F33338"/>
    <w:rsid w:val="00F339A2"/>
    <w:rsid w:val="00F33B76"/>
    <w:rsid w:val="00F345FD"/>
    <w:rsid w:val="00F369E8"/>
    <w:rsid w:val="00F51908"/>
    <w:rsid w:val="00F55673"/>
    <w:rsid w:val="00F60EE1"/>
    <w:rsid w:val="00F61E48"/>
    <w:rsid w:val="00F6229D"/>
    <w:rsid w:val="00F63B08"/>
    <w:rsid w:val="00F67B61"/>
    <w:rsid w:val="00F71180"/>
    <w:rsid w:val="00F74078"/>
    <w:rsid w:val="00F76773"/>
    <w:rsid w:val="00F801F2"/>
    <w:rsid w:val="00F85A70"/>
    <w:rsid w:val="00F87E3A"/>
    <w:rsid w:val="00F9045A"/>
    <w:rsid w:val="00F9350D"/>
    <w:rsid w:val="00F96533"/>
    <w:rsid w:val="00F97B46"/>
    <w:rsid w:val="00FA0234"/>
    <w:rsid w:val="00FA374B"/>
    <w:rsid w:val="00FA514C"/>
    <w:rsid w:val="00FB1179"/>
    <w:rsid w:val="00FB574A"/>
    <w:rsid w:val="00FC5138"/>
    <w:rsid w:val="00FE4651"/>
    <w:rsid w:val="00FE7CC1"/>
    <w:rsid w:val="00FF22CE"/>
    <w:rsid w:val="00FF2CA1"/>
    <w:rsid w:val="00FF3F51"/>
    <w:rsid w:val="00FF5137"/>
    <w:rsid w:val="00FF7B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C7B1F"/>
  <w15:chartTrackingRefBased/>
  <w15:docId w15:val="{61822711-9588-44D7-9EC9-DFF06961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65A"/>
    <w:rPr>
      <w:rFonts w:ascii="Arial Narrow" w:hAnsi="Arial Narrow"/>
      <w:u w:color="000000"/>
    </w:rPr>
  </w:style>
  <w:style w:type="paragraph" w:styleId="Ttulo1">
    <w:name w:val="heading 1"/>
    <w:basedOn w:val="Normal"/>
    <w:next w:val="Normal"/>
    <w:link w:val="Ttulo1Car"/>
    <w:uiPriority w:val="9"/>
    <w:qFormat/>
    <w:rsid w:val="008245E9"/>
    <w:pPr>
      <w:keepNext/>
      <w:keepLines/>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DC028E"/>
    <w:pPr>
      <w:keepNext/>
      <w:keepLines/>
      <w:jc w:val="both"/>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7278E7"/>
    <w:pPr>
      <w:keepNext/>
      <w:keepLines/>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BB0D21"/>
    <w:pPr>
      <w:keepNext/>
      <w:keepLines/>
      <w:spacing w:before="40"/>
      <w:jc w:val="both"/>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h,h8,h9,h10,h18,Encabezado Car Car Car Car Car,Encabezado Car Car Car,Encabezado 2,encabezado,Encabezado Car1 Car,Car6 Car Car Car,Car6 Car1 Car,Car6 Car,Car6,Cover Page,Car Car"/>
    <w:basedOn w:val="Normal"/>
    <w:link w:val="EncabezadoCar"/>
    <w:unhideWhenUsed/>
    <w:qFormat/>
    <w:rsid w:val="0053405F"/>
    <w:pPr>
      <w:tabs>
        <w:tab w:val="center" w:pos="4252"/>
        <w:tab w:val="right" w:pos="8504"/>
      </w:tabs>
    </w:pPr>
    <w:rPr>
      <w:lang w:val="es-ES"/>
    </w:rPr>
  </w:style>
  <w:style w:type="character" w:customStyle="1" w:styleId="EncabezadoCar">
    <w:name w:val="Encabezado Car"/>
    <w:aliases w:val="Encabezado1 Car,h Car,h8 Car,h9 Car,h10 Car,h18 Car,Encabezado Car Car Car Car Car Car,Encabezado Car Car Car Car,Encabezado 2 Car,encabezado Car,Encabezado Car1 Car Car,Car6 Car Car Car Car,Car6 Car1 Car Car,Car6 Car Car,Car6 Car1"/>
    <w:basedOn w:val="Fuentedeprrafopredeter"/>
    <w:link w:val="Encabezado"/>
    <w:rsid w:val="0053405F"/>
    <w:rPr>
      <w:u w:color="000000"/>
      <w:lang w:val="es-ES"/>
    </w:rPr>
  </w:style>
  <w:style w:type="paragraph" w:styleId="Piedepgina">
    <w:name w:val="footer"/>
    <w:basedOn w:val="Normal"/>
    <w:link w:val="PiedepginaCar"/>
    <w:uiPriority w:val="99"/>
    <w:unhideWhenUsed/>
    <w:rsid w:val="0053405F"/>
    <w:pPr>
      <w:tabs>
        <w:tab w:val="center" w:pos="4252"/>
        <w:tab w:val="right" w:pos="8504"/>
      </w:tabs>
    </w:pPr>
    <w:rPr>
      <w:lang w:val="es-ES"/>
    </w:rPr>
  </w:style>
  <w:style w:type="character" w:customStyle="1" w:styleId="PiedepginaCar">
    <w:name w:val="Pie de página Car"/>
    <w:basedOn w:val="Fuentedeprrafopredeter"/>
    <w:link w:val="Piedepgina"/>
    <w:uiPriority w:val="99"/>
    <w:rsid w:val="0053405F"/>
    <w:rPr>
      <w:u w:color="000000"/>
      <w:lang w:val="es-ES"/>
    </w:rPr>
  </w:style>
  <w:style w:type="table" w:styleId="Tablaconcuadrcula">
    <w:name w:val="Table Grid"/>
    <w:aliases w:val="Estilo Tablas EIA,sin cuadricula,Tabla GEOCOL,petro,Petrominerales,SGI"/>
    <w:basedOn w:val="Tablanormal"/>
    <w:uiPriority w:val="59"/>
    <w:qFormat/>
    <w:rsid w:val="0053405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3405F"/>
    <w:rPr>
      <w:rFonts w:ascii="Liberation Serif" w:eastAsia="Noto Sans CJK SC Regular" w:hAnsi="Liberation Serif" w:cs="FreeSans"/>
      <w:color w:val="00000A"/>
      <w:sz w:val="24"/>
      <w:szCs w:val="24"/>
      <w:lang w:eastAsia="zh-CN" w:bidi="hi-IN"/>
    </w:rPr>
  </w:style>
  <w:style w:type="paragraph" w:styleId="Prrafodelista">
    <w:name w:val="List Paragraph"/>
    <w:aliases w:val="Bullet List,FooterText,numbered,Paragraphe de liste1,Bulletr List Paragraph,Foot,列出段落,列出段落1,List Paragraph2,List Paragraph21,Parágrafo da Lista1,リスト段落1,Listeafsnit1,lp1,Ha,List Paragraph1,titulo 3,HOJA,Bolita,Párrafo de lista4,BOLADEF,H"/>
    <w:basedOn w:val="Normal"/>
    <w:link w:val="PrrafodelistaCar"/>
    <w:uiPriority w:val="34"/>
    <w:qFormat/>
    <w:rsid w:val="0053405F"/>
    <w:pPr>
      <w:ind w:left="720"/>
      <w:contextualSpacing/>
    </w:pPr>
  </w:style>
  <w:style w:type="paragraph" w:styleId="Sinespaciado">
    <w:name w:val="No Spacing"/>
    <w:aliases w:val="Negrilla-COLVISTA"/>
    <w:link w:val="SinespaciadoCar"/>
    <w:uiPriority w:val="1"/>
    <w:qFormat/>
    <w:rsid w:val="0053405F"/>
    <w:rPr>
      <w:u w:color="000000"/>
    </w:rPr>
  </w:style>
  <w:style w:type="character" w:styleId="Hipervnculo">
    <w:name w:val="Hyperlink"/>
    <w:basedOn w:val="Fuentedeprrafopredeter"/>
    <w:uiPriority w:val="99"/>
    <w:unhideWhenUsed/>
    <w:rsid w:val="0053405F"/>
    <w:rPr>
      <w:color w:val="0563C1" w:themeColor="hyperlink"/>
      <w:u w:val="single"/>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Ha Car"/>
    <w:link w:val="Prrafodelista"/>
    <w:uiPriority w:val="34"/>
    <w:qFormat/>
    <w:rsid w:val="00205CED"/>
    <w:rPr>
      <w:u w:color="000000"/>
    </w:rPr>
  </w:style>
  <w:style w:type="character" w:styleId="Refdecomentario">
    <w:name w:val="annotation reference"/>
    <w:basedOn w:val="Fuentedeprrafopredeter"/>
    <w:uiPriority w:val="99"/>
    <w:semiHidden/>
    <w:unhideWhenUsed/>
    <w:rsid w:val="008932C7"/>
    <w:rPr>
      <w:sz w:val="16"/>
      <w:szCs w:val="16"/>
    </w:rPr>
  </w:style>
  <w:style w:type="paragraph" w:styleId="Textocomentario">
    <w:name w:val="annotation text"/>
    <w:basedOn w:val="Normal"/>
    <w:link w:val="TextocomentarioCar"/>
    <w:uiPriority w:val="99"/>
    <w:unhideWhenUsed/>
    <w:rsid w:val="008932C7"/>
    <w:rPr>
      <w:sz w:val="20"/>
      <w:szCs w:val="20"/>
    </w:rPr>
  </w:style>
  <w:style w:type="character" w:customStyle="1" w:styleId="TextocomentarioCar">
    <w:name w:val="Texto comentario Car"/>
    <w:basedOn w:val="Fuentedeprrafopredeter"/>
    <w:link w:val="Textocomentario"/>
    <w:uiPriority w:val="99"/>
    <w:rsid w:val="008932C7"/>
    <w:rPr>
      <w:sz w:val="20"/>
      <w:szCs w:val="20"/>
      <w:u w:color="000000"/>
    </w:rPr>
  </w:style>
  <w:style w:type="paragraph" w:styleId="Textodeglobo">
    <w:name w:val="Balloon Text"/>
    <w:basedOn w:val="Normal"/>
    <w:link w:val="TextodegloboCar"/>
    <w:uiPriority w:val="99"/>
    <w:semiHidden/>
    <w:unhideWhenUsed/>
    <w:rsid w:val="008932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2C7"/>
    <w:rPr>
      <w:rFonts w:ascii="Segoe UI" w:hAnsi="Segoe UI" w:cs="Segoe UI"/>
      <w:sz w:val="18"/>
      <w:szCs w:val="18"/>
      <w:u w:color="000000"/>
    </w:rPr>
  </w:style>
  <w:style w:type="character" w:customStyle="1" w:styleId="Ttulo2Car">
    <w:name w:val="Título 2 Car"/>
    <w:basedOn w:val="Fuentedeprrafopredeter"/>
    <w:link w:val="Ttulo2"/>
    <w:uiPriority w:val="9"/>
    <w:rsid w:val="00DC028E"/>
    <w:rPr>
      <w:rFonts w:ascii="Arial Narrow" w:eastAsiaTheme="majorEastAsia" w:hAnsi="Arial Narrow" w:cstheme="majorBidi"/>
      <w:b/>
      <w:szCs w:val="26"/>
      <w:u w:color="000000"/>
    </w:rPr>
  </w:style>
  <w:style w:type="paragraph" w:styleId="Textonotapie">
    <w:name w:val="footnote text"/>
    <w:aliases w:val="Footnote Text Char Char Char Char Char,Footnote Text Char Char Char Char,Footnote reference,FA Fu,texto de nota al pie,Footnote Text Char Char Char,ft Car,Texto nota pie Car1,Texto nota pie Car Car Car Car Car Car Car Car,ft,fn,p,FOOTNOTE"/>
    <w:basedOn w:val="Normal"/>
    <w:link w:val="TextonotapieCar"/>
    <w:uiPriority w:val="99"/>
    <w:qFormat/>
    <w:rsid w:val="00F9045A"/>
    <w:rPr>
      <w:sz w:val="20"/>
      <w:szCs w:val="20"/>
      <w:lang w:val="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t Car Car,Texto nota pie Car1 Car,ft Car1,fn Car,p Car"/>
    <w:basedOn w:val="Fuentedeprrafopredeter"/>
    <w:link w:val="Textonotapie"/>
    <w:uiPriority w:val="99"/>
    <w:qFormat/>
    <w:rsid w:val="00F9045A"/>
    <w:rPr>
      <w:rFonts w:ascii="Arial Narrow" w:hAnsi="Arial Narrow"/>
      <w:sz w:val="20"/>
      <w:szCs w:val="20"/>
      <w:u w:color="000000"/>
      <w:lang w:val="es-ES"/>
    </w:rPr>
  </w:style>
  <w:style w:type="character" w:styleId="Refdenotaalpie">
    <w:name w:val="footnote reference"/>
    <w:aliases w:val="referencia nota al pie,Footnote symbol,Footnote,FC,Texto de nota al pie,BVI fnr,Ref. de nota al pie2,Nota de pie,Ref,de nota al pie,Pie de pagina,Texto nota al pie,Appel note de bas de p,fr,Used by Word for Help footnote symbols,ftre"/>
    <w:link w:val="Char2"/>
    <w:uiPriority w:val="99"/>
    <w:qFormat/>
    <w:rsid w:val="00F9045A"/>
    <w:rPr>
      <w:vertAlign w:val="superscript"/>
    </w:rPr>
  </w:style>
  <w:style w:type="character" w:customStyle="1" w:styleId="Ttulo3Car">
    <w:name w:val="Título 3 Car"/>
    <w:basedOn w:val="Fuentedeprrafopredeter"/>
    <w:link w:val="Ttulo3"/>
    <w:uiPriority w:val="9"/>
    <w:rsid w:val="007278E7"/>
    <w:rPr>
      <w:rFonts w:ascii="Arial Narrow" w:eastAsiaTheme="majorEastAsia" w:hAnsi="Arial Narrow" w:cstheme="majorBidi"/>
      <w:b/>
      <w:szCs w:val="24"/>
      <w:u w:color="000000"/>
    </w:rPr>
  </w:style>
  <w:style w:type="paragraph" w:customStyle="1" w:styleId="Cuerpodetexto">
    <w:name w:val="Cuerpo de texto"/>
    <w:basedOn w:val="Normal"/>
    <w:rsid w:val="009A0066"/>
    <w:pPr>
      <w:suppressAutoHyphens/>
      <w:jc w:val="both"/>
    </w:pPr>
    <w:rPr>
      <w:rFonts w:ascii="Arial" w:eastAsia="Times New Roman" w:hAnsi="Arial" w:cs="Arial"/>
      <w:i/>
      <w:szCs w:val="20"/>
      <w:lang w:val="es-ES" w:eastAsia="zh-CN"/>
    </w:rPr>
  </w:style>
  <w:style w:type="character" w:customStyle="1" w:styleId="CharacterStyle1">
    <w:name w:val="Character Style 1"/>
    <w:uiPriority w:val="99"/>
    <w:rsid w:val="009A0066"/>
    <w:rPr>
      <w:sz w:val="20"/>
    </w:rPr>
  </w:style>
  <w:style w:type="character" w:customStyle="1" w:styleId="Ttulo4Car">
    <w:name w:val="Título 4 Car"/>
    <w:basedOn w:val="Fuentedeprrafopredeter"/>
    <w:link w:val="Ttulo4"/>
    <w:uiPriority w:val="9"/>
    <w:semiHidden/>
    <w:rsid w:val="00BB0D21"/>
    <w:rPr>
      <w:rFonts w:asciiTheme="majorHAnsi" w:eastAsiaTheme="majorEastAsia" w:hAnsiTheme="majorHAnsi" w:cstheme="majorBidi"/>
      <w:i/>
      <w:iCs/>
      <w:color w:val="2E74B5" w:themeColor="accent1" w:themeShade="BF"/>
      <w:u w:color="000000"/>
    </w:rPr>
  </w:style>
  <w:style w:type="paragraph" w:styleId="Textoindependiente">
    <w:name w:val="Body Text"/>
    <w:aliases w:val="body text,bt,TextindepT2,Table Bullet 1,body tesx,contents,TABLA DE CONTENIDO 3"/>
    <w:basedOn w:val="Normal"/>
    <w:link w:val="TextoindependienteCar"/>
    <w:rsid w:val="00BB0D21"/>
    <w:pPr>
      <w:jc w:val="both"/>
    </w:pPr>
    <w:rPr>
      <w:rFonts w:ascii="Arial" w:hAnsi="Arial"/>
      <w:sz w:val="24"/>
      <w:szCs w:val="20"/>
      <w:lang w:val="es-ES"/>
    </w:rPr>
  </w:style>
  <w:style w:type="character" w:customStyle="1" w:styleId="TextoindependienteCar">
    <w:name w:val="Texto independiente Car"/>
    <w:aliases w:val="body text Car,bt Car,TextindepT2 Car,Table Bullet 1 Car,body tesx Car,contents Car,TABLA DE CONTENIDO 3 Car"/>
    <w:basedOn w:val="Fuentedeprrafopredeter"/>
    <w:link w:val="Textoindependiente"/>
    <w:rsid w:val="00BB0D21"/>
    <w:rPr>
      <w:rFonts w:ascii="Arial" w:hAnsi="Arial"/>
      <w:sz w:val="24"/>
      <w:szCs w:val="20"/>
      <w:u w:color="000000"/>
      <w:lang w:val="es-ES"/>
    </w:rPr>
  </w:style>
  <w:style w:type="table" w:customStyle="1" w:styleId="TableGrid">
    <w:name w:val="TableGrid"/>
    <w:rsid w:val="00BB0D21"/>
    <w:pPr>
      <w:jc w:val="both"/>
    </w:pPr>
    <w:rPr>
      <w:rFonts w:eastAsiaTheme="minorEastAsia"/>
      <w:lang w:eastAsia="es-CO"/>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BB0D21"/>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9874F6"/>
    <w:rPr>
      <w:b/>
      <w:bCs/>
    </w:rPr>
  </w:style>
  <w:style w:type="character" w:customStyle="1" w:styleId="AsuntodelcomentarioCar">
    <w:name w:val="Asunto del comentario Car"/>
    <w:basedOn w:val="TextocomentarioCar"/>
    <w:link w:val="Asuntodelcomentario"/>
    <w:uiPriority w:val="99"/>
    <w:semiHidden/>
    <w:rsid w:val="009874F6"/>
    <w:rPr>
      <w:b/>
      <w:bCs/>
      <w:sz w:val="20"/>
      <w:szCs w:val="20"/>
      <w:u w:color="000000"/>
    </w:rPr>
  </w:style>
  <w:style w:type="character" w:styleId="Mencionar">
    <w:name w:val="Mention"/>
    <w:basedOn w:val="Fuentedeprrafopredeter"/>
    <w:uiPriority w:val="99"/>
    <w:unhideWhenUsed/>
    <w:rsid w:val="009874F6"/>
    <w:rPr>
      <w:color w:val="2B579A"/>
      <w:shd w:val="clear" w:color="auto" w:fill="E1DFDD"/>
    </w:rPr>
  </w:style>
  <w:style w:type="character" w:customStyle="1" w:styleId="Ttulo1Car">
    <w:name w:val="Título 1 Car"/>
    <w:basedOn w:val="Fuentedeprrafopredeter"/>
    <w:link w:val="Ttulo1"/>
    <w:uiPriority w:val="9"/>
    <w:rsid w:val="008245E9"/>
    <w:rPr>
      <w:rFonts w:ascii="Arial Narrow" w:eastAsiaTheme="majorEastAsia" w:hAnsi="Arial Narrow" w:cstheme="majorBidi"/>
      <w:b/>
      <w:szCs w:val="32"/>
      <w:u w:color="000000"/>
    </w:rPr>
  </w:style>
  <w:style w:type="table" w:customStyle="1" w:styleId="TableGrid1">
    <w:name w:val="TableGrid1"/>
    <w:rsid w:val="008F73FA"/>
    <w:rPr>
      <w:rFonts w:eastAsiaTheme="minorEastAsia"/>
      <w:lang w:eastAsia="es-CO"/>
    </w:rPr>
    <w:tblPr>
      <w:tblCellMar>
        <w:top w:w="0" w:type="dxa"/>
        <w:left w:w="0" w:type="dxa"/>
        <w:bottom w:w="0" w:type="dxa"/>
        <w:right w:w="0" w:type="dxa"/>
      </w:tblCellMar>
    </w:tblPr>
  </w:style>
  <w:style w:type="paragraph" w:customStyle="1" w:styleId="Default">
    <w:name w:val="Default"/>
    <w:link w:val="DefaultCar"/>
    <w:qFormat/>
    <w:rsid w:val="009A265A"/>
    <w:pPr>
      <w:autoSpaceDE w:val="0"/>
      <w:autoSpaceDN w:val="0"/>
      <w:adjustRightInd w:val="0"/>
    </w:pPr>
    <w:rPr>
      <w:rFonts w:ascii="Arial Narrow" w:eastAsiaTheme="minorEastAsia" w:hAnsi="Arial Narrow" w:cs="Arial"/>
      <w:szCs w:val="24"/>
      <w:lang w:eastAsia="es-CO"/>
    </w:rPr>
  </w:style>
  <w:style w:type="character" w:customStyle="1" w:styleId="DefaultCar">
    <w:name w:val="Default Car"/>
    <w:link w:val="Default"/>
    <w:qFormat/>
    <w:locked/>
    <w:rsid w:val="009A265A"/>
    <w:rPr>
      <w:rFonts w:ascii="Arial Narrow" w:eastAsiaTheme="minorEastAsia" w:hAnsi="Arial Narrow" w:cs="Arial"/>
      <w:szCs w:val="24"/>
      <w:lang w:eastAsia="es-CO"/>
    </w:rPr>
  </w:style>
  <w:style w:type="paragraph" w:customStyle="1" w:styleId="Char2">
    <w:name w:val="Char2"/>
    <w:basedOn w:val="Normal"/>
    <w:link w:val="Refdenotaalpie"/>
    <w:uiPriority w:val="99"/>
    <w:qFormat/>
    <w:rsid w:val="008F73FA"/>
    <w:pPr>
      <w:autoSpaceDE w:val="0"/>
      <w:autoSpaceDN w:val="0"/>
      <w:spacing w:after="160" w:line="240" w:lineRule="exact"/>
    </w:pPr>
    <w:rPr>
      <w:vertAlign w:val="superscript"/>
    </w:rPr>
  </w:style>
  <w:style w:type="character" w:styleId="Mencinsinresolver">
    <w:name w:val="Unresolved Mention"/>
    <w:basedOn w:val="Fuentedeprrafopredeter"/>
    <w:uiPriority w:val="99"/>
    <w:semiHidden/>
    <w:unhideWhenUsed/>
    <w:rsid w:val="00E36FC3"/>
    <w:rPr>
      <w:color w:val="605E5C"/>
      <w:shd w:val="clear" w:color="auto" w:fill="E1DFDD"/>
    </w:rPr>
  </w:style>
  <w:style w:type="paragraph" w:styleId="NormalWeb">
    <w:name w:val="Normal (Web)"/>
    <w:aliases w:val="Normal (Web) Car,Normal (Web) Car Car,Normal (Web) Car Car Car,Normal (Web) Car Car Car Car Car Car,Normal (Web) Car Car Car Car Car Car Car Car Car,Car Car Car,Car Car Car Car Car Car Car Car,Normal (Web)1,Normal (Web)2,Car2"/>
    <w:basedOn w:val="Normal"/>
    <w:link w:val="NormalWebCar1"/>
    <w:uiPriority w:val="99"/>
    <w:unhideWhenUsed/>
    <w:qFormat/>
    <w:rsid w:val="00B93191"/>
    <w:pPr>
      <w:spacing w:before="100" w:beforeAutospacing="1" w:after="100" w:afterAutospacing="1"/>
    </w:pPr>
    <w:rPr>
      <w:rFonts w:ascii="Times New Roman" w:hAnsi="Times New Roman" w:cs="Times New Roman"/>
      <w:i/>
      <w:iCs/>
      <w:szCs w:val="24"/>
      <w:lang w:eastAsia="es-CO"/>
    </w:rPr>
  </w:style>
  <w:style w:type="character" w:customStyle="1" w:styleId="SinespaciadoCar">
    <w:name w:val="Sin espaciado Car"/>
    <w:aliases w:val="Negrilla-COLVISTA Car"/>
    <w:link w:val="Sinespaciado"/>
    <w:uiPriority w:val="1"/>
    <w:qFormat/>
    <w:locked/>
    <w:rsid w:val="00B93191"/>
    <w:rPr>
      <w:u w:color="000000"/>
    </w:rPr>
  </w:style>
  <w:style w:type="character" w:styleId="Textoennegrita">
    <w:name w:val="Strong"/>
    <w:basedOn w:val="Fuentedeprrafopredeter"/>
    <w:uiPriority w:val="22"/>
    <w:qFormat/>
    <w:rsid w:val="00B93191"/>
    <w:rPr>
      <w:b/>
      <w:bCs/>
    </w:rPr>
  </w:style>
  <w:style w:type="character" w:styleId="nfasis">
    <w:name w:val="Emphasis"/>
    <w:basedOn w:val="Fuentedeprrafopredeter"/>
    <w:uiPriority w:val="20"/>
    <w:qFormat/>
    <w:rsid w:val="00B93191"/>
    <w:rPr>
      <w:i/>
      <w:iCs/>
    </w:rPr>
  </w:style>
  <w:style w:type="character" w:customStyle="1" w:styleId="normaltextrun">
    <w:name w:val="normaltextrun"/>
    <w:basedOn w:val="Fuentedeprrafopredeter"/>
    <w:rsid w:val="00B93191"/>
  </w:style>
  <w:style w:type="character" w:customStyle="1" w:styleId="NormalWebCar1">
    <w:name w:val="Normal (Web) Car1"/>
    <w:aliases w:val="Normal (Web) Car Car1,Normal (Web) Car Car Car1,Normal (Web) Car Car Car Car,Normal (Web) Car Car Car Car Car Car Car,Normal (Web) Car Car Car Car Car Car Car Car Car Car,Car Car Car Car,Car Car Car Car Car Car Car Car Car,Car2 Car"/>
    <w:link w:val="NormalWeb"/>
    <w:uiPriority w:val="99"/>
    <w:rsid w:val="00F51908"/>
    <w:rPr>
      <w:rFonts w:ascii="Times New Roman" w:hAnsi="Times New Roman" w:cs="Times New Roman"/>
      <w:i/>
      <w:iCs/>
      <w:szCs w:val="24"/>
      <w:u w:color="000000"/>
      <w:lang w:eastAsia="es-CO"/>
    </w:rPr>
  </w:style>
  <w:style w:type="paragraph" w:styleId="TtuloTDC">
    <w:name w:val="TOC Heading"/>
    <w:basedOn w:val="Ttulo1"/>
    <w:next w:val="Normal"/>
    <w:uiPriority w:val="39"/>
    <w:semiHidden/>
    <w:unhideWhenUsed/>
    <w:qFormat/>
    <w:rsid w:val="00A204A8"/>
    <w:pPr>
      <w:spacing w:before="240" w:after="240" w:line="256" w:lineRule="auto"/>
      <w:outlineLvl w:val="9"/>
    </w:pPr>
    <w:rPr>
      <w:rFonts w:ascii="Calibri Light" w:eastAsia="Times New Roman" w:hAnsi="Calibri Light" w:cs="Times New Roman"/>
      <w:b w:val="0"/>
      <w:color w:val="2E74B5"/>
      <w:sz w:val="32"/>
      <w:lang w:eastAsia="es-CO"/>
    </w:rPr>
  </w:style>
  <w:style w:type="paragraph" w:styleId="Sangradetextonormal">
    <w:name w:val="Body Text Indent"/>
    <w:basedOn w:val="Normal"/>
    <w:link w:val="SangradetextonormalCar"/>
    <w:uiPriority w:val="99"/>
    <w:semiHidden/>
    <w:unhideWhenUsed/>
    <w:rsid w:val="00A30C63"/>
    <w:pPr>
      <w:spacing w:after="120"/>
      <w:ind w:left="283"/>
    </w:pPr>
  </w:style>
  <w:style w:type="character" w:customStyle="1" w:styleId="SangradetextonormalCar">
    <w:name w:val="Sangría de texto normal Car"/>
    <w:basedOn w:val="Fuentedeprrafopredeter"/>
    <w:link w:val="Sangradetextonormal"/>
    <w:uiPriority w:val="99"/>
    <w:semiHidden/>
    <w:rsid w:val="00A30C63"/>
    <w:rPr>
      <w:rFonts w:ascii="Arial Narrow" w:hAnsi="Arial Narrow"/>
      <w:u w:color="000000"/>
    </w:rPr>
  </w:style>
  <w:style w:type="paragraph" w:customStyle="1" w:styleId="Sinespaciado3">
    <w:name w:val="Sin espaciado3"/>
    <w:uiPriority w:val="1"/>
    <w:qFormat/>
    <w:rsid w:val="00755C97"/>
    <w:rPr>
      <w:rFonts w:ascii="Calibri" w:eastAsia="Calibri" w:hAnsi="Calibri" w:cs="Times New Roman"/>
      <w:lang w:val="es-MX"/>
    </w:rPr>
  </w:style>
  <w:style w:type="paragraph" w:customStyle="1" w:styleId="TableParagraph">
    <w:name w:val="Table Paragraph"/>
    <w:basedOn w:val="Normal"/>
    <w:uiPriority w:val="1"/>
    <w:qFormat/>
    <w:rsid w:val="00755C97"/>
    <w:pPr>
      <w:widowControl w:val="0"/>
      <w:autoSpaceDE w:val="0"/>
      <w:autoSpaceDN w:val="0"/>
    </w:pPr>
    <w:rPr>
      <w:rFonts w:ascii="Arial MT" w:eastAsia="Arial MT" w:hAnsi="Arial MT" w:cs="Arial MT"/>
      <w:lang w:val="es-ES"/>
    </w:rPr>
  </w:style>
  <w:style w:type="table" w:styleId="Tablaconcuadrculaclara">
    <w:name w:val="Grid Table Light"/>
    <w:basedOn w:val="Tablanormal"/>
    <w:uiPriority w:val="40"/>
    <w:rsid w:val="00EA401F"/>
    <w:rPr>
      <w:sz w:val="24"/>
      <w:szCs w:val="24"/>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listparagraph">
    <w:name w:val="x_msolistparagraph"/>
    <w:basedOn w:val="Normal"/>
    <w:rsid w:val="002B7D6B"/>
    <w:pPr>
      <w:spacing w:before="100" w:beforeAutospacing="1" w:after="100" w:afterAutospacing="1"/>
    </w:pPr>
    <w:rPr>
      <w:rFonts w:ascii="Calibri" w:hAnsi="Calibri" w:cs="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50596">
      <w:bodyDiv w:val="1"/>
      <w:marLeft w:val="0"/>
      <w:marRight w:val="0"/>
      <w:marTop w:val="0"/>
      <w:marBottom w:val="0"/>
      <w:divBdr>
        <w:top w:val="none" w:sz="0" w:space="0" w:color="auto"/>
        <w:left w:val="none" w:sz="0" w:space="0" w:color="auto"/>
        <w:bottom w:val="none" w:sz="0" w:space="0" w:color="auto"/>
        <w:right w:val="none" w:sz="0" w:space="0" w:color="auto"/>
      </w:divBdr>
    </w:div>
    <w:div w:id="121386345">
      <w:bodyDiv w:val="1"/>
      <w:marLeft w:val="0"/>
      <w:marRight w:val="0"/>
      <w:marTop w:val="0"/>
      <w:marBottom w:val="0"/>
      <w:divBdr>
        <w:top w:val="none" w:sz="0" w:space="0" w:color="auto"/>
        <w:left w:val="none" w:sz="0" w:space="0" w:color="auto"/>
        <w:bottom w:val="none" w:sz="0" w:space="0" w:color="auto"/>
        <w:right w:val="none" w:sz="0" w:space="0" w:color="auto"/>
      </w:divBdr>
    </w:div>
    <w:div w:id="136580580">
      <w:bodyDiv w:val="1"/>
      <w:marLeft w:val="0"/>
      <w:marRight w:val="0"/>
      <w:marTop w:val="0"/>
      <w:marBottom w:val="0"/>
      <w:divBdr>
        <w:top w:val="none" w:sz="0" w:space="0" w:color="auto"/>
        <w:left w:val="none" w:sz="0" w:space="0" w:color="auto"/>
        <w:bottom w:val="none" w:sz="0" w:space="0" w:color="auto"/>
        <w:right w:val="none" w:sz="0" w:space="0" w:color="auto"/>
      </w:divBdr>
    </w:div>
    <w:div w:id="137113536">
      <w:bodyDiv w:val="1"/>
      <w:marLeft w:val="0"/>
      <w:marRight w:val="0"/>
      <w:marTop w:val="0"/>
      <w:marBottom w:val="0"/>
      <w:divBdr>
        <w:top w:val="none" w:sz="0" w:space="0" w:color="auto"/>
        <w:left w:val="none" w:sz="0" w:space="0" w:color="auto"/>
        <w:bottom w:val="none" w:sz="0" w:space="0" w:color="auto"/>
        <w:right w:val="none" w:sz="0" w:space="0" w:color="auto"/>
      </w:divBdr>
    </w:div>
    <w:div w:id="180166730">
      <w:bodyDiv w:val="1"/>
      <w:marLeft w:val="0"/>
      <w:marRight w:val="0"/>
      <w:marTop w:val="0"/>
      <w:marBottom w:val="0"/>
      <w:divBdr>
        <w:top w:val="none" w:sz="0" w:space="0" w:color="auto"/>
        <w:left w:val="none" w:sz="0" w:space="0" w:color="auto"/>
        <w:bottom w:val="none" w:sz="0" w:space="0" w:color="auto"/>
        <w:right w:val="none" w:sz="0" w:space="0" w:color="auto"/>
      </w:divBdr>
    </w:div>
    <w:div w:id="259724145">
      <w:bodyDiv w:val="1"/>
      <w:marLeft w:val="0"/>
      <w:marRight w:val="0"/>
      <w:marTop w:val="0"/>
      <w:marBottom w:val="0"/>
      <w:divBdr>
        <w:top w:val="none" w:sz="0" w:space="0" w:color="auto"/>
        <w:left w:val="none" w:sz="0" w:space="0" w:color="auto"/>
        <w:bottom w:val="none" w:sz="0" w:space="0" w:color="auto"/>
        <w:right w:val="none" w:sz="0" w:space="0" w:color="auto"/>
      </w:divBdr>
    </w:div>
    <w:div w:id="357854006">
      <w:bodyDiv w:val="1"/>
      <w:marLeft w:val="0"/>
      <w:marRight w:val="0"/>
      <w:marTop w:val="0"/>
      <w:marBottom w:val="0"/>
      <w:divBdr>
        <w:top w:val="none" w:sz="0" w:space="0" w:color="auto"/>
        <w:left w:val="none" w:sz="0" w:space="0" w:color="auto"/>
        <w:bottom w:val="none" w:sz="0" w:space="0" w:color="auto"/>
        <w:right w:val="none" w:sz="0" w:space="0" w:color="auto"/>
      </w:divBdr>
    </w:div>
    <w:div w:id="360788969">
      <w:bodyDiv w:val="1"/>
      <w:marLeft w:val="0"/>
      <w:marRight w:val="0"/>
      <w:marTop w:val="0"/>
      <w:marBottom w:val="0"/>
      <w:divBdr>
        <w:top w:val="none" w:sz="0" w:space="0" w:color="auto"/>
        <w:left w:val="none" w:sz="0" w:space="0" w:color="auto"/>
        <w:bottom w:val="none" w:sz="0" w:space="0" w:color="auto"/>
        <w:right w:val="none" w:sz="0" w:space="0" w:color="auto"/>
      </w:divBdr>
    </w:div>
    <w:div w:id="506360084">
      <w:bodyDiv w:val="1"/>
      <w:marLeft w:val="0"/>
      <w:marRight w:val="0"/>
      <w:marTop w:val="0"/>
      <w:marBottom w:val="0"/>
      <w:divBdr>
        <w:top w:val="none" w:sz="0" w:space="0" w:color="auto"/>
        <w:left w:val="none" w:sz="0" w:space="0" w:color="auto"/>
        <w:bottom w:val="none" w:sz="0" w:space="0" w:color="auto"/>
        <w:right w:val="none" w:sz="0" w:space="0" w:color="auto"/>
      </w:divBdr>
    </w:div>
    <w:div w:id="527641094">
      <w:bodyDiv w:val="1"/>
      <w:marLeft w:val="0"/>
      <w:marRight w:val="0"/>
      <w:marTop w:val="0"/>
      <w:marBottom w:val="0"/>
      <w:divBdr>
        <w:top w:val="none" w:sz="0" w:space="0" w:color="auto"/>
        <w:left w:val="none" w:sz="0" w:space="0" w:color="auto"/>
        <w:bottom w:val="none" w:sz="0" w:space="0" w:color="auto"/>
        <w:right w:val="none" w:sz="0" w:space="0" w:color="auto"/>
      </w:divBdr>
    </w:div>
    <w:div w:id="532429221">
      <w:bodyDiv w:val="1"/>
      <w:marLeft w:val="0"/>
      <w:marRight w:val="0"/>
      <w:marTop w:val="0"/>
      <w:marBottom w:val="0"/>
      <w:divBdr>
        <w:top w:val="none" w:sz="0" w:space="0" w:color="auto"/>
        <w:left w:val="none" w:sz="0" w:space="0" w:color="auto"/>
        <w:bottom w:val="none" w:sz="0" w:space="0" w:color="auto"/>
        <w:right w:val="none" w:sz="0" w:space="0" w:color="auto"/>
      </w:divBdr>
    </w:div>
    <w:div w:id="661157545">
      <w:bodyDiv w:val="1"/>
      <w:marLeft w:val="0"/>
      <w:marRight w:val="0"/>
      <w:marTop w:val="0"/>
      <w:marBottom w:val="0"/>
      <w:divBdr>
        <w:top w:val="none" w:sz="0" w:space="0" w:color="auto"/>
        <w:left w:val="none" w:sz="0" w:space="0" w:color="auto"/>
        <w:bottom w:val="none" w:sz="0" w:space="0" w:color="auto"/>
        <w:right w:val="none" w:sz="0" w:space="0" w:color="auto"/>
      </w:divBdr>
    </w:div>
    <w:div w:id="674769054">
      <w:bodyDiv w:val="1"/>
      <w:marLeft w:val="0"/>
      <w:marRight w:val="0"/>
      <w:marTop w:val="0"/>
      <w:marBottom w:val="0"/>
      <w:divBdr>
        <w:top w:val="none" w:sz="0" w:space="0" w:color="auto"/>
        <w:left w:val="none" w:sz="0" w:space="0" w:color="auto"/>
        <w:bottom w:val="none" w:sz="0" w:space="0" w:color="auto"/>
        <w:right w:val="none" w:sz="0" w:space="0" w:color="auto"/>
      </w:divBdr>
    </w:div>
    <w:div w:id="683047501">
      <w:bodyDiv w:val="1"/>
      <w:marLeft w:val="0"/>
      <w:marRight w:val="0"/>
      <w:marTop w:val="0"/>
      <w:marBottom w:val="0"/>
      <w:divBdr>
        <w:top w:val="none" w:sz="0" w:space="0" w:color="auto"/>
        <w:left w:val="none" w:sz="0" w:space="0" w:color="auto"/>
        <w:bottom w:val="none" w:sz="0" w:space="0" w:color="auto"/>
        <w:right w:val="none" w:sz="0" w:space="0" w:color="auto"/>
      </w:divBdr>
    </w:div>
    <w:div w:id="702486039">
      <w:bodyDiv w:val="1"/>
      <w:marLeft w:val="0"/>
      <w:marRight w:val="0"/>
      <w:marTop w:val="0"/>
      <w:marBottom w:val="0"/>
      <w:divBdr>
        <w:top w:val="none" w:sz="0" w:space="0" w:color="auto"/>
        <w:left w:val="none" w:sz="0" w:space="0" w:color="auto"/>
        <w:bottom w:val="none" w:sz="0" w:space="0" w:color="auto"/>
        <w:right w:val="none" w:sz="0" w:space="0" w:color="auto"/>
      </w:divBdr>
    </w:div>
    <w:div w:id="706177995">
      <w:bodyDiv w:val="1"/>
      <w:marLeft w:val="0"/>
      <w:marRight w:val="0"/>
      <w:marTop w:val="0"/>
      <w:marBottom w:val="0"/>
      <w:divBdr>
        <w:top w:val="none" w:sz="0" w:space="0" w:color="auto"/>
        <w:left w:val="none" w:sz="0" w:space="0" w:color="auto"/>
        <w:bottom w:val="none" w:sz="0" w:space="0" w:color="auto"/>
        <w:right w:val="none" w:sz="0" w:space="0" w:color="auto"/>
      </w:divBdr>
    </w:div>
    <w:div w:id="727729526">
      <w:bodyDiv w:val="1"/>
      <w:marLeft w:val="0"/>
      <w:marRight w:val="0"/>
      <w:marTop w:val="0"/>
      <w:marBottom w:val="0"/>
      <w:divBdr>
        <w:top w:val="none" w:sz="0" w:space="0" w:color="auto"/>
        <w:left w:val="none" w:sz="0" w:space="0" w:color="auto"/>
        <w:bottom w:val="none" w:sz="0" w:space="0" w:color="auto"/>
        <w:right w:val="none" w:sz="0" w:space="0" w:color="auto"/>
      </w:divBdr>
    </w:div>
    <w:div w:id="771584525">
      <w:bodyDiv w:val="1"/>
      <w:marLeft w:val="0"/>
      <w:marRight w:val="0"/>
      <w:marTop w:val="0"/>
      <w:marBottom w:val="0"/>
      <w:divBdr>
        <w:top w:val="none" w:sz="0" w:space="0" w:color="auto"/>
        <w:left w:val="none" w:sz="0" w:space="0" w:color="auto"/>
        <w:bottom w:val="none" w:sz="0" w:space="0" w:color="auto"/>
        <w:right w:val="none" w:sz="0" w:space="0" w:color="auto"/>
      </w:divBdr>
    </w:div>
    <w:div w:id="812870979">
      <w:bodyDiv w:val="1"/>
      <w:marLeft w:val="0"/>
      <w:marRight w:val="0"/>
      <w:marTop w:val="0"/>
      <w:marBottom w:val="0"/>
      <w:divBdr>
        <w:top w:val="none" w:sz="0" w:space="0" w:color="auto"/>
        <w:left w:val="none" w:sz="0" w:space="0" w:color="auto"/>
        <w:bottom w:val="none" w:sz="0" w:space="0" w:color="auto"/>
        <w:right w:val="none" w:sz="0" w:space="0" w:color="auto"/>
      </w:divBdr>
    </w:div>
    <w:div w:id="916325979">
      <w:bodyDiv w:val="1"/>
      <w:marLeft w:val="0"/>
      <w:marRight w:val="0"/>
      <w:marTop w:val="0"/>
      <w:marBottom w:val="0"/>
      <w:divBdr>
        <w:top w:val="none" w:sz="0" w:space="0" w:color="auto"/>
        <w:left w:val="none" w:sz="0" w:space="0" w:color="auto"/>
        <w:bottom w:val="none" w:sz="0" w:space="0" w:color="auto"/>
        <w:right w:val="none" w:sz="0" w:space="0" w:color="auto"/>
      </w:divBdr>
    </w:div>
    <w:div w:id="967974090">
      <w:bodyDiv w:val="1"/>
      <w:marLeft w:val="0"/>
      <w:marRight w:val="0"/>
      <w:marTop w:val="0"/>
      <w:marBottom w:val="0"/>
      <w:divBdr>
        <w:top w:val="none" w:sz="0" w:space="0" w:color="auto"/>
        <w:left w:val="none" w:sz="0" w:space="0" w:color="auto"/>
        <w:bottom w:val="none" w:sz="0" w:space="0" w:color="auto"/>
        <w:right w:val="none" w:sz="0" w:space="0" w:color="auto"/>
      </w:divBdr>
    </w:div>
    <w:div w:id="993603221">
      <w:bodyDiv w:val="1"/>
      <w:marLeft w:val="0"/>
      <w:marRight w:val="0"/>
      <w:marTop w:val="0"/>
      <w:marBottom w:val="0"/>
      <w:divBdr>
        <w:top w:val="none" w:sz="0" w:space="0" w:color="auto"/>
        <w:left w:val="none" w:sz="0" w:space="0" w:color="auto"/>
        <w:bottom w:val="none" w:sz="0" w:space="0" w:color="auto"/>
        <w:right w:val="none" w:sz="0" w:space="0" w:color="auto"/>
      </w:divBdr>
    </w:div>
    <w:div w:id="1029448676">
      <w:bodyDiv w:val="1"/>
      <w:marLeft w:val="0"/>
      <w:marRight w:val="0"/>
      <w:marTop w:val="0"/>
      <w:marBottom w:val="0"/>
      <w:divBdr>
        <w:top w:val="none" w:sz="0" w:space="0" w:color="auto"/>
        <w:left w:val="none" w:sz="0" w:space="0" w:color="auto"/>
        <w:bottom w:val="none" w:sz="0" w:space="0" w:color="auto"/>
        <w:right w:val="none" w:sz="0" w:space="0" w:color="auto"/>
      </w:divBdr>
    </w:div>
    <w:div w:id="1037388368">
      <w:bodyDiv w:val="1"/>
      <w:marLeft w:val="0"/>
      <w:marRight w:val="0"/>
      <w:marTop w:val="0"/>
      <w:marBottom w:val="0"/>
      <w:divBdr>
        <w:top w:val="none" w:sz="0" w:space="0" w:color="auto"/>
        <w:left w:val="none" w:sz="0" w:space="0" w:color="auto"/>
        <w:bottom w:val="none" w:sz="0" w:space="0" w:color="auto"/>
        <w:right w:val="none" w:sz="0" w:space="0" w:color="auto"/>
      </w:divBdr>
    </w:div>
    <w:div w:id="1040476300">
      <w:bodyDiv w:val="1"/>
      <w:marLeft w:val="0"/>
      <w:marRight w:val="0"/>
      <w:marTop w:val="0"/>
      <w:marBottom w:val="0"/>
      <w:divBdr>
        <w:top w:val="none" w:sz="0" w:space="0" w:color="auto"/>
        <w:left w:val="none" w:sz="0" w:space="0" w:color="auto"/>
        <w:bottom w:val="none" w:sz="0" w:space="0" w:color="auto"/>
        <w:right w:val="none" w:sz="0" w:space="0" w:color="auto"/>
      </w:divBdr>
    </w:div>
    <w:div w:id="1048915022">
      <w:bodyDiv w:val="1"/>
      <w:marLeft w:val="0"/>
      <w:marRight w:val="0"/>
      <w:marTop w:val="0"/>
      <w:marBottom w:val="0"/>
      <w:divBdr>
        <w:top w:val="none" w:sz="0" w:space="0" w:color="auto"/>
        <w:left w:val="none" w:sz="0" w:space="0" w:color="auto"/>
        <w:bottom w:val="none" w:sz="0" w:space="0" w:color="auto"/>
        <w:right w:val="none" w:sz="0" w:space="0" w:color="auto"/>
      </w:divBdr>
    </w:div>
    <w:div w:id="1153982123">
      <w:bodyDiv w:val="1"/>
      <w:marLeft w:val="0"/>
      <w:marRight w:val="0"/>
      <w:marTop w:val="0"/>
      <w:marBottom w:val="0"/>
      <w:divBdr>
        <w:top w:val="none" w:sz="0" w:space="0" w:color="auto"/>
        <w:left w:val="none" w:sz="0" w:space="0" w:color="auto"/>
        <w:bottom w:val="none" w:sz="0" w:space="0" w:color="auto"/>
        <w:right w:val="none" w:sz="0" w:space="0" w:color="auto"/>
      </w:divBdr>
    </w:div>
    <w:div w:id="1162312017">
      <w:bodyDiv w:val="1"/>
      <w:marLeft w:val="0"/>
      <w:marRight w:val="0"/>
      <w:marTop w:val="0"/>
      <w:marBottom w:val="0"/>
      <w:divBdr>
        <w:top w:val="none" w:sz="0" w:space="0" w:color="auto"/>
        <w:left w:val="none" w:sz="0" w:space="0" w:color="auto"/>
        <w:bottom w:val="none" w:sz="0" w:space="0" w:color="auto"/>
        <w:right w:val="none" w:sz="0" w:space="0" w:color="auto"/>
      </w:divBdr>
    </w:div>
    <w:div w:id="1206718181">
      <w:bodyDiv w:val="1"/>
      <w:marLeft w:val="0"/>
      <w:marRight w:val="0"/>
      <w:marTop w:val="0"/>
      <w:marBottom w:val="0"/>
      <w:divBdr>
        <w:top w:val="none" w:sz="0" w:space="0" w:color="auto"/>
        <w:left w:val="none" w:sz="0" w:space="0" w:color="auto"/>
        <w:bottom w:val="none" w:sz="0" w:space="0" w:color="auto"/>
        <w:right w:val="none" w:sz="0" w:space="0" w:color="auto"/>
      </w:divBdr>
    </w:div>
    <w:div w:id="1223368853">
      <w:bodyDiv w:val="1"/>
      <w:marLeft w:val="0"/>
      <w:marRight w:val="0"/>
      <w:marTop w:val="0"/>
      <w:marBottom w:val="0"/>
      <w:divBdr>
        <w:top w:val="none" w:sz="0" w:space="0" w:color="auto"/>
        <w:left w:val="none" w:sz="0" w:space="0" w:color="auto"/>
        <w:bottom w:val="none" w:sz="0" w:space="0" w:color="auto"/>
        <w:right w:val="none" w:sz="0" w:space="0" w:color="auto"/>
      </w:divBdr>
    </w:div>
    <w:div w:id="1245650680">
      <w:bodyDiv w:val="1"/>
      <w:marLeft w:val="0"/>
      <w:marRight w:val="0"/>
      <w:marTop w:val="0"/>
      <w:marBottom w:val="0"/>
      <w:divBdr>
        <w:top w:val="none" w:sz="0" w:space="0" w:color="auto"/>
        <w:left w:val="none" w:sz="0" w:space="0" w:color="auto"/>
        <w:bottom w:val="none" w:sz="0" w:space="0" w:color="auto"/>
        <w:right w:val="none" w:sz="0" w:space="0" w:color="auto"/>
      </w:divBdr>
    </w:div>
    <w:div w:id="1247809055">
      <w:bodyDiv w:val="1"/>
      <w:marLeft w:val="0"/>
      <w:marRight w:val="0"/>
      <w:marTop w:val="0"/>
      <w:marBottom w:val="0"/>
      <w:divBdr>
        <w:top w:val="none" w:sz="0" w:space="0" w:color="auto"/>
        <w:left w:val="none" w:sz="0" w:space="0" w:color="auto"/>
        <w:bottom w:val="none" w:sz="0" w:space="0" w:color="auto"/>
        <w:right w:val="none" w:sz="0" w:space="0" w:color="auto"/>
      </w:divBdr>
    </w:div>
    <w:div w:id="1297952896">
      <w:bodyDiv w:val="1"/>
      <w:marLeft w:val="0"/>
      <w:marRight w:val="0"/>
      <w:marTop w:val="0"/>
      <w:marBottom w:val="0"/>
      <w:divBdr>
        <w:top w:val="none" w:sz="0" w:space="0" w:color="auto"/>
        <w:left w:val="none" w:sz="0" w:space="0" w:color="auto"/>
        <w:bottom w:val="none" w:sz="0" w:space="0" w:color="auto"/>
        <w:right w:val="none" w:sz="0" w:space="0" w:color="auto"/>
      </w:divBdr>
    </w:div>
    <w:div w:id="1308780745">
      <w:bodyDiv w:val="1"/>
      <w:marLeft w:val="0"/>
      <w:marRight w:val="0"/>
      <w:marTop w:val="0"/>
      <w:marBottom w:val="0"/>
      <w:divBdr>
        <w:top w:val="none" w:sz="0" w:space="0" w:color="auto"/>
        <w:left w:val="none" w:sz="0" w:space="0" w:color="auto"/>
        <w:bottom w:val="none" w:sz="0" w:space="0" w:color="auto"/>
        <w:right w:val="none" w:sz="0" w:space="0" w:color="auto"/>
      </w:divBdr>
    </w:div>
    <w:div w:id="1344891021">
      <w:bodyDiv w:val="1"/>
      <w:marLeft w:val="0"/>
      <w:marRight w:val="0"/>
      <w:marTop w:val="0"/>
      <w:marBottom w:val="0"/>
      <w:divBdr>
        <w:top w:val="none" w:sz="0" w:space="0" w:color="auto"/>
        <w:left w:val="none" w:sz="0" w:space="0" w:color="auto"/>
        <w:bottom w:val="none" w:sz="0" w:space="0" w:color="auto"/>
        <w:right w:val="none" w:sz="0" w:space="0" w:color="auto"/>
      </w:divBdr>
    </w:div>
    <w:div w:id="1404375364">
      <w:bodyDiv w:val="1"/>
      <w:marLeft w:val="0"/>
      <w:marRight w:val="0"/>
      <w:marTop w:val="0"/>
      <w:marBottom w:val="0"/>
      <w:divBdr>
        <w:top w:val="none" w:sz="0" w:space="0" w:color="auto"/>
        <w:left w:val="none" w:sz="0" w:space="0" w:color="auto"/>
        <w:bottom w:val="none" w:sz="0" w:space="0" w:color="auto"/>
        <w:right w:val="none" w:sz="0" w:space="0" w:color="auto"/>
      </w:divBdr>
    </w:div>
    <w:div w:id="1407142894">
      <w:bodyDiv w:val="1"/>
      <w:marLeft w:val="0"/>
      <w:marRight w:val="0"/>
      <w:marTop w:val="0"/>
      <w:marBottom w:val="0"/>
      <w:divBdr>
        <w:top w:val="none" w:sz="0" w:space="0" w:color="auto"/>
        <w:left w:val="none" w:sz="0" w:space="0" w:color="auto"/>
        <w:bottom w:val="none" w:sz="0" w:space="0" w:color="auto"/>
        <w:right w:val="none" w:sz="0" w:space="0" w:color="auto"/>
      </w:divBdr>
    </w:div>
    <w:div w:id="1443568104">
      <w:bodyDiv w:val="1"/>
      <w:marLeft w:val="0"/>
      <w:marRight w:val="0"/>
      <w:marTop w:val="0"/>
      <w:marBottom w:val="0"/>
      <w:divBdr>
        <w:top w:val="none" w:sz="0" w:space="0" w:color="auto"/>
        <w:left w:val="none" w:sz="0" w:space="0" w:color="auto"/>
        <w:bottom w:val="none" w:sz="0" w:space="0" w:color="auto"/>
        <w:right w:val="none" w:sz="0" w:space="0" w:color="auto"/>
      </w:divBdr>
    </w:div>
    <w:div w:id="1465197132">
      <w:bodyDiv w:val="1"/>
      <w:marLeft w:val="0"/>
      <w:marRight w:val="0"/>
      <w:marTop w:val="0"/>
      <w:marBottom w:val="0"/>
      <w:divBdr>
        <w:top w:val="none" w:sz="0" w:space="0" w:color="auto"/>
        <w:left w:val="none" w:sz="0" w:space="0" w:color="auto"/>
        <w:bottom w:val="none" w:sz="0" w:space="0" w:color="auto"/>
        <w:right w:val="none" w:sz="0" w:space="0" w:color="auto"/>
      </w:divBdr>
    </w:div>
    <w:div w:id="1477068525">
      <w:bodyDiv w:val="1"/>
      <w:marLeft w:val="0"/>
      <w:marRight w:val="0"/>
      <w:marTop w:val="0"/>
      <w:marBottom w:val="0"/>
      <w:divBdr>
        <w:top w:val="none" w:sz="0" w:space="0" w:color="auto"/>
        <w:left w:val="none" w:sz="0" w:space="0" w:color="auto"/>
        <w:bottom w:val="none" w:sz="0" w:space="0" w:color="auto"/>
        <w:right w:val="none" w:sz="0" w:space="0" w:color="auto"/>
      </w:divBdr>
    </w:div>
    <w:div w:id="1489634227">
      <w:bodyDiv w:val="1"/>
      <w:marLeft w:val="0"/>
      <w:marRight w:val="0"/>
      <w:marTop w:val="0"/>
      <w:marBottom w:val="0"/>
      <w:divBdr>
        <w:top w:val="none" w:sz="0" w:space="0" w:color="auto"/>
        <w:left w:val="none" w:sz="0" w:space="0" w:color="auto"/>
        <w:bottom w:val="none" w:sz="0" w:space="0" w:color="auto"/>
        <w:right w:val="none" w:sz="0" w:space="0" w:color="auto"/>
      </w:divBdr>
    </w:div>
    <w:div w:id="1561985139">
      <w:bodyDiv w:val="1"/>
      <w:marLeft w:val="0"/>
      <w:marRight w:val="0"/>
      <w:marTop w:val="0"/>
      <w:marBottom w:val="0"/>
      <w:divBdr>
        <w:top w:val="none" w:sz="0" w:space="0" w:color="auto"/>
        <w:left w:val="none" w:sz="0" w:space="0" w:color="auto"/>
        <w:bottom w:val="none" w:sz="0" w:space="0" w:color="auto"/>
        <w:right w:val="none" w:sz="0" w:space="0" w:color="auto"/>
      </w:divBdr>
    </w:div>
    <w:div w:id="1617059718">
      <w:bodyDiv w:val="1"/>
      <w:marLeft w:val="0"/>
      <w:marRight w:val="0"/>
      <w:marTop w:val="0"/>
      <w:marBottom w:val="0"/>
      <w:divBdr>
        <w:top w:val="none" w:sz="0" w:space="0" w:color="auto"/>
        <w:left w:val="none" w:sz="0" w:space="0" w:color="auto"/>
        <w:bottom w:val="none" w:sz="0" w:space="0" w:color="auto"/>
        <w:right w:val="none" w:sz="0" w:space="0" w:color="auto"/>
      </w:divBdr>
    </w:div>
    <w:div w:id="1737775544">
      <w:bodyDiv w:val="1"/>
      <w:marLeft w:val="0"/>
      <w:marRight w:val="0"/>
      <w:marTop w:val="0"/>
      <w:marBottom w:val="0"/>
      <w:divBdr>
        <w:top w:val="none" w:sz="0" w:space="0" w:color="auto"/>
        <w:left w:val="none" w:sz="0" w:space="0" w:color="auto"/>
        <w:bottom w:val="none" w:sz="0" w:space="0" w:color="auto"/>
        <w:right w:val="none" w:sz="0" w:space="0" w:color="auto"/>
      </w:divBdr>
    </w:div>
    <w:div w:id="1773284037">
      <w:bodyDiv w:val="1"/>
      <w:marLeft w:val="0"/>
      <w:marRight w:val="0"/>
      <w:marTop w:val="0"/>
      <w:marBottom w:val="0"/>
      <w:divBdr>
        <w:top w:val="none" w:sz="0" w:space="0" w:color="auto"/>
        <w:left w:val="none" w:sz="0" w:space="0" w:color="auto"/>
        <w:bottom w:val="none" w:sz="0" w:space="0" w:color="auto"/>
        <w:right w:val="none" w:sz="0" w:space="0" w:color="auto"/>
      </w:divBdr>
    </w:div>
    <w:div w:id="1832063814">
      <w:bodyDiv w:val="1"/>
      <w:marLeft w:val="0"/>
      <w:marRight w:val="0"/>
      <w:marTop w:val="0"/>
      <w:marBottom w:val="0"/>
      <w:divBdr>
        <w:top w:val="none" w:sz="0" w:space="0" w:color="auto"/>
        <w:left w:val="none" w:sz="0" w:space="0" w:color="auto"/>
        <w:bottom w:val="none" w:sz="0" w:space="0" w:color="auto"/>
        <w:right w:val="none" w:sz="0" w:space="0" w:color="auto"/>
      </w:divBdr>
    </w:div>
    <w:div w:id="1840071886">
      <w:bodyDiv w:val="1"/>
      <w:marLeft w:val="0"/>
      <w:marRight w:val="0"/>
      <w:marTop w:val="0"/>
      <w:marBottom w:val="0"/>
      <w:divBdr>
        <w:top w:val="none" w:sz="0" w:space="0" w:color="auto"/>
        <w:left w:val="none" w:sz="0" w:space="0" w:color="auto"/>
        <w:bottom w:val="none" w:sz="0" w:space="0" w:color="auto"/>
        <w:right w:val="none" w:sz="0" w:space="0" w:color="auto"/>
      </w:divBdr>
    </w:div>
    <w:div w:id="1857887534">
      <w:bodyDiv w:val="1"/>
      <w:marLeft w:val="0"/>
      <w:marRight w:val="0"/>
      <w:marTop w:val="0"/>
      <w:marBottom w:val="0"/>
      <w:divBdr>
        <w:top w:val="none" w:sz="0" w:space="0" w:color="auto"/>
        <w:left w:val="none" w:sz="0" w:space="0" w:color="auto"/>
        <w:bottom w:val="none" w:sz="0" w:space="0" w:color="auto"/>
        <w:right w:val="none" w:sz="0" w:space="0" w:color="auto"/>
      </w:divBdr>
    </w:div>
    <w:div w:id="1900900224">
      <w:bodyDiv w:val="1"/>
      <w:marLeft w:val="0"/>
      <w:marRight w:val="0"/>
      <w:marTop w:val="0"/>
      <w:marBottom w:val="0"/>
      <w:divBdr>
        <w:top w:val="none" w:sz="0" w:space="0" w:color="auto"/>
        <w:left w:val="none" w:sz="0" w:space="0" w:color="auto"/>
        <w:bottom w:val="none" w:sz="0" w:space="0" w:color="auto"/>
        <w:right w:val="none" w:sz="0" w:space="0" w:color="auto"/>
      </w:divBdr>
    </w:div>
    <w:div w:id="1913269532">
      <w:bodyDiv w:val="1"/>
      <w:marLeft w:val="0"/>
      <w:marRight w:val="0"/>
      <w:marTop w:val="0"/>
      <w:marBottom w:val="0"/>
      <w:divBdr>
        <w:top w:val="none" w:sz="0" w:space="0" w:color="auto"/>
        <w:left w:val="none" w:sz="0" w:space="0" w:color="auto"/>
        <w:bottom w:val="none" w:sz="0" w:space="0" w:color="auto"/>
        <w:right w:val="none" w:sz="0" w:space="0" w:color="auto"/>
      </w:divBdr>
    </w:div>
    <w:div w:id="1933200074">
      <w:bodyDiv w:val="1"/>
      <w:marLeft w:val="0"/>
      <w:marRight w:val="0"/>
      <w:marTop w:val="0"/>
      <w:marBottom w:val="0"/>
      <w:divBdr>
        <w:top w:val="none" w:sz="0" w:space="0" w:color="auto"/>
        <w:left w:val="none" w:sz="0" w:space="0" w:color="auto"/>
        <w:bottom w:val="none" w:sz="0" w:space="0" w:color="auto"/>
        <w:right w:val="none" w:sz="0" w:space="0" w:color="auto"/>
      </w:divBdr>
    </w:div>
    <w:div w:id="1939756192">
      <w:bodyDiv w:val="1"/>
      <w:marLeft w:val="0"/>
      <w:marRight w:val="0"/>
      <w:marTop w:val="0"/>
      <w:marBottom w:val="0"/>
      <w:divBdr>
        <w:top w:val="none" w:sz="0" w:space="0" w:color="auto"/>
        <w:left w:val="none" w:sz="0" w:space="0" w:color="auto"/>
        <w:bottom w:val="none" w:sz="0" w:space="0" w:color="auto"/>
        <w:right w:val="none" w:sz="0" w:space="0" w:color="auto"/>
      </w:divBdr>
    </w:div>
    <w:div w:id="1951666733">
      <w:bodyDiv w:val="1"/>
      <w:marLeft w:val="0"/>
      <w:marRight w:val="0"/>
      <w:marTop w:val="0"/>
      <w:marBottom w:val="0"/>
      <w:divBdr>
        <w:top w:val="none" w:sz="0" w:space="0" w:color="auto"/>
        <w:left w:val="none" w:sz="0" w:space="0" w:color="auto"/>
        <w:bottom w:val="none" w:sz="0" w:space="0" w:color="auto"/>
        <w:right w:val="none" w:sz="0" w:space="0" w:color="auto"/>
      </w:divBdr>
    </w:div>
    <w:div w:id="201413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diagramColors" Target="diagrams/colors1.xml"/><Relationship Id="rId68" Type="http://schemas.openxmlformats.org/officeDocument/2006/relationships/diagramColors" Target="diagrams/colors2.xml"/><Relationship Id="rId76" Type="http://schemas.openxmlformats.org/officeDocument/2006/relationships/image" Target="media/image59.png"/><Relationship Id="rId84" Type="http://schemas.openxmlformats.org/officeDocument/2006/relationships/chart" Target="charts/chart2.xml"/><Relationship Id="rId89" Type="http://schemas.openxmlformats.org/officeDocument/2006/relationships/image" Target="media/image68.png"/><Relationship Id="rId7" Type="http://schemas.openxmlformats.org/officeDocument/2006/relationships/image" Target="media/image1.emf"/><Relationship Id="rId71" Type="http://schemas.openxmlformats.org/officeDocument/2006/relationships/image" Target="media/image54.emf"/><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mailto:centrodecontacto@confianza.com.co"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diagramLayout" Target="diagrams/layout2.xml"/><Relationship Id="rId74" Type="http://schemas.openxmlformats.org/officeDocument/2006/relationships/image" Target="media/image57.png"/><Relationship Id="rId79" Type="http://schemas.openxmlformats.org/officeDocument/2006/relationships/hyperlink" Target="https://www.superfinanciera.gov.co/IngresoPowerBI/" TargetMode="External"/><Relationship Id="rId87"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diagramLayout" Target="diagrams/layout1.xml"/><Relationship Id="rId82" Type="http://schemas.openxmlformats.org/officeDocument/2006/relationships/image" Target="media/image63.png"/><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microsoft.com/office/2007/relationships/diagramDrawing" Target="diagrams/drawing1.xml"/><Relationship Id="rId69" Type="http://schemas.microsoft.com/office/2007/relationships/diagramDrawing" Target="diagrams/drawing2.xml"/><Relationship Id="rId77" Type="http://schemas.openxmlformats.org/officeDocument/2006/relationships/image" Target="media/image60.emf"/><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55.png"/><Relationship Id="rId80" Type="http://schemas.openxmlformats.org/officeDocument/2006/relationships/hyperlink" Target="https://www.superfinanciera.gov.co/IngresoPowerBI/" TargetMode="External"/><Relationship Id="rId85" Type="http://schemas.openxmlformats.org/officeDocument/2006/relationships/image" Target="media/image64.pn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diagramQuickStyle" Target="diagrams/quickStyle2.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diagramQuickStyle" Target="diagrams/quickStyle1.xm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chart" Target="charts/chart1.xml"/><Relationship Id="rId88" Type="http://schemas.openxmlformats.org/officeDocument/2006/relationships/image" Target="media/image67.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diagramData" Target="diagrams/data1.xml"/><Relationship Id="rId65" Type="http://schemas.openxmlformats.org/officeDocument/2006/relationships/diagramData" Target="diagrams/data2.xml"/><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image" Target="media/image62.png"/><Relationship Id="rId86" Type="http://schemas.openxmlformats.org/officeDocument/2006/relationships/image" Target="media/image65.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0.jpeg"/></Relationships>
</file>

<file path=word/_rels/footer2.xml.rels><?xml version="1.0" encoding="UTF-8" standalone="yes"?>
<Relationships xmlns="http://schemas.openxmlformats.org/package/2006/relationships"><Relationship Id="rId1" Type="http://schemas.openxmlformats.org/officeDocument/2006/relationships/image" Target="media/image70.jpeg"/></Relationships>
</file>

<file path=word/_rels/footnotes.xml.rels><?xml version="1.0" encoding="UTF-8" standalone="yes"?>
<Relationships xmlns="http://schemas.openxmlformats.org/package/2006/relationships"><Relationship Id="rId8" Type="http://schemas.openxmlformats.org/officeDocument/2006/relationships/hyperlink" Target="https://dapre.presidencia.gov.co/normativa/normativa/DECRETO%20957%20DEL%2005%20DE%20JUNIO%20DE%202019.pdf" TargetMode="External"/><Relationship Id="rId3" Type="http://schemas.openxmlformats.org/officeDocument/2006/relationships/hyperlink" Target="https://fasecolda.com/fasecolda/nosotros/" TargetMode="External"/><Relationship Id="rId7" Type="http://schemas.openxmlformats.org/officeDocument/2006/relationships/hyperlink" Target="https://www.funcionpublica.gov.co/eva/gestornormativo/norma.php?i=175187" TargetMode="External"/><Relationship Id="rId2" Type="http://schemas.openxmlformats.org/officeDocument/2006/relationships/hyperlink" Target="https://www.ambitojuridico.com/noticias/especiales/sociedades-y-economia-solidaria/que-es-un-contrato-de-reaseguro-y-como-funciona" TargetMode="External"/><Relationship Id="rId1" Type="http://schemas.openxmlformats.org/officeDocument/2006/relationships/hyperlink" Target="https://enciclopedia.banrepcultural.org/index.php/Sectores_economicos" TargetMode="External"/><Relationship Id="rId6" Type="http://schemas.openxmlformats.org/officeDocument/2006/relationships/hyperlink" Target="https://www.dane.gov.co/files/investigaciones/boletines/ech/ech/bol_empleo_dic_22.pdf" TargetMode="External"/><Relationship Id="rId5" Type="http://schemas.openxmlformats.org/officeDocument/2006/relationships/hyperlink" Target="https://www.dane.gov.co/files/operaciones/GEIH/bol-GEIH-mar2024.pdf" TargetMode="External"/><Relationship Id="rId4" Type="http://schemas.openxmlformats.org/officeDocument/2006/relationships/hyperlink" Target="https://www.dane.gov.co/index.php/estadisticas-por-tema/cuentas-nacionales/cuentas-nacionales-trimestrales/pib-informacion-tecnica" TargetMode="External"/><Relationship Id="rId9" Type="http://schemas.openxmlformats.org/officeDocument/2006/relationships/hyperlink" Target="https://www.superfinanciera.gov.co/publicaciones/10112568/informes-y-cifrascomposicion-por-genero-de-la-alta-gerencia-y-organismos-de-control-en-las-entidades-vigiladas-1011256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9.jpeg"/></Relationships>
</file>

<file path=word/_rels/header2.xml.rels><?xml version="1.0" encoding="UTF-8" standalone="yes"?>
<Relationships xmlns="http://schemas.openxmlformats.org/package/2006/relationships"><Relationship Id="rId1" Type="http://schemas.openxmlformats.org/officeDocument/2006/relationships/image" Target="media/image6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uciano\Desktop\Luciano\Icanh\Procesos\2024\Internet%20Huila\07_INF_BASE_Internet%20Huila.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uciano\Desktop\Luciano\Icanh\Procesos\2024\Internet%20Huila\07_INF_BASE_Internet%20Huila.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sz="1100"/>
              <a:t>CARACTERIZACIÓN DE EMPRESAS DEL SECTOR POR CLASIFICACIÓN EMPRESARIAL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017250721633702"/>
          <c:y val="0.1350502338861006"/>
          <c:w val="0.77726929375577869"/>
          <c:h val="0.4814821465446808"/>
        </c:manualLayout>
      </c:layout>
      <c:bar3DChart>
        <c:barDir val="col"/>
        <c:grouping val="clustered"/>
        <c:varyColors val="0"/>
        <c:ser>
          <c:idx val="0"/>
          <c:order val="0"/>
          <c:tx>
            <c:strRef>
              <c:f>C_IND!$C$21</c:f>
              <c:strCache>
                <c:ptCount val="1"/>
                <c:pt idx="0">
                  <c:v>Manufacturero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C_IND!$B$22:$B$26</c:f>
              <c:strCache>
                <c:ptCount val="5"/>
                <c:pt idx="0">
                  <c:v>Microempresa</c:v>
                </c:pt>
                <c:pt idx="1">
                  <c:v>Pequeña empresa</c:v>
                </c:pt>
                <c:pt idx="2">
                  <c:v>Mediana empresa</c:v>
                </c:pt>
                <c:pt idx="3">
                  <c:v>Gran empresa </c:v>
                </c:pt>
                <c:pt idx="4">
                  <c:v>Inf no detallada </c:v>
                </c:pt>
              </c:strCache>
            </c:strRef>
          </c:cat>
          <c:val>
            <c:numRef>
              <c:f>C_IND!$C$22:$C$26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D4EA-46FF-B9A5-809F94065B22}"/>
            </c:ext>
          </c:extLst>
        </c:ser>
        <c:ser>
          <c:idx val="1"/>
          <c:order val="1"/>
          <c:tx>
            <c:strRef>
              <c:f>C_IND!$D$21</c:f>
              <c:strCache>
                <c:ptCount val="1"/>
                <c:pt idx="0">
                  <c:v>Comercio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C_IND!$B$22:$B$26</c:f>
              <c:strCache>
                <c:ptCount val="5"/>
                <c:pt idx="0">
                  <c:v>Microempresa</c:v>
                </c:pt>
                <c:pt idx="1">
                  <c:v>Pequeña empresa</c:v>
                </c:pt>
                <c:pt idx="2">
                  <c:v>Mediana empresa</c:v>
                </c:pt>
                <c:pt idx="3">
                  <c:v>Gran empresa </c:v>
                </c:pt>
                <c:pt idx="4">
                  <c:v>Inf no detallada </c:v>
                </c:pt>
              </c:strCache>
            </c:strRef>
          </c:cat>
          <c:val>
            <c:numRef>
              <c:f>C_IND!$D$22:$D$26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D4EA-46FF-B9A5-809F94065B22}"/>
            </c:ext>
          </c:extLst>
        </c:ser>
        <c:ser>
          <c:idx val="2"/>
          <c:order val="2"/>
          <c:tx>
            <c:strRef>
              <c:f>C_IND!$E$21</c:f>
              <c:strCache>
                <c:ptCount val="1"/>
                <c:pt idx="0">
                  <c:v>Servicio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C_IND!$B$22:$B$26</c:f>
              <c:strCache>
                <c:ptCount val="5"/>
                <c:pt idx="0">
                  <c:v>Microempresa</c:v>
                </c:pt>
                <c:pt idx="1">
                  <c:v>Pequeña empresa</c:v>
                </c:pt>
                <c:pt idx="2">
                  <c:v>Mediana empresa</c:v>
                </c:pt>
                <c:pt idx="3">
                  <c:v>Gran empresa </c:v>
                </c:pt>
                <c:pt idx="4">
                  <c:v>Inf no detallada </c:v>
                </c:pt>
              </c:strCache>
            </c:strRef>
          </c:cat>
          <c:val>
            <c:numRef>
              <c:f>C_IND!$E$22:$E$26</c:f>
              <c:numCache>
                <c:formatCode>General</c:formatCode>
                <c:ptCount val="5"/>
                <c:pt idx="0">
                  <c:v>22</c:v>
                </c:pt>
                <c:pt idx="1">
                  <c:v>29</c:v>
                </c:pt>
                <c:pt idx="2">
                  <c:v>43</c:v>
                </c:pt>
                <c:pt idx="3">
                  <c:v>71</c:v>
                </c:pt>
                <c:pt idx="4">
                  <c:v>17</c:v>
                </c:pt>
              </c:numCache>
            </c:numRef>
          </c:val>
          <c:extLst>
            <c:ext xmlns:c16="http://schemas.microsoft.com/office/drawing/2014/chart" uri="{C3380CC4-5D6E-409C-BE32-E72D297353CC}">
              <c16:uniqueId val="{00000002-D4EA-46FF-B9A5-809F94065B22}"/>
            </c:ext>
          </c:extLst>
        </c:ser>
        <c:dLbls>
          <c:showLegendKey val="0"/>
          <c:showVal val="0"/>
          <c:showCatName val="0"/>
          <c:showSerName val="0"/>
          <c:showPercent val="0"/>
          <c:showBubbleSize val="0"/>
        </c:dLbls>
        <c:gapWidth val="150"/>
        <c:shape val="box"/>
        <c:axId val="1397811887"/>
        <c:axId val="1397814799"/>
        <c:axId val="0"/>
      </c:bar3DChart>
      <c:catAx>
        <c:axId val="139781188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97814799"/>
        <c:crosses val="autoZero"/>
        <c:auto val="1"/>
        <c:lblAlgn val="ctr"/>
        <c:lblOffset val="100"/>
        <c:noMultiLvlLbl val="0"/>
      </c:catAx>
      <c:valAx>
        <c:axId val="139781479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97811887"/>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servicio</a:t>
            </a:r>
            <a:endParaRPr lang="es-CO"/>
          </a:p>
        </c:rich>
      </c:tx>
      <c:layout>
        <c:manualLayout>
          <c:xMode val="edge"/>
          <c:yMode val="edge"/>
          <c:x val="0.35232080940459026"/>
          <c:y val="3.638881158654144E-2"/>
        </c:manualLayout>
      </c:layout>
      <c:overlay val="0"/>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02301886660687"/>
          <c:y val="0.1991356224617819"/>
          <c:w val="0.85794431583066821"/>
          <c:h val="0.69713584953369667"/>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D92-4516-9DD6-B97E8B3FE7C1}"/>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D92-4516-9DD6-B97E8B3FE7C1}"/>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D92-4516-9DD6-B97E8B3FE7C1}"/>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D92-4516-9DD6-B97E8B3FE7C1}"/>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D92-4516-9DD6-B97E8B3FE7C1}"/>
              </c:ext>
            </c:extLst>
          </c:dPt>
          <c:dLbls>
            <c:dLbl>
              <c:idx val="0"/>
              <c:layout>
                <c:manualLayout>
                  <c:x val="-6.7759544164412974E-2"/>
                  <c:y val="0.50109292887338563"/>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6"/>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1875583918858035"/>
                      <c:h val="0.14111780355695483"/>
                    </c:manualLayout>
                  </c15:layout>
                </c:ext>
                <c:ext xmlns:c16="http://schemas.microsoft.com/office/drawing/2014/chart" uri="{C3380CC4-5D6E-409C-BE32-E72D297353CC}">
                  <c16:uniqueId val="{00000001-6D92-4516-9DD6-B97E8B3FE7C1}"/>
                </c:ext>
              </c:extLst>
            </c:dLbl>
            <c:dLbl>
              <c:idx val="1"/>
              <c:layout>
                <c:manualLayout>
                  <c:x val="-9.9605658354018842E-2"/>
                  <c:y val="-2.8104287589889605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5"/>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92-4516-9DD6-B97E8B3FE7C1}"/>
                </c:ext>
              </c:extLst>
            </c:dLbl>
            <c:dLbl>
              <c:idx val="2"/>
              <c:layout>
                <c:manualLayout>
                  <c:x val="-0.11479992299034418"/>
                  <c:y val="-8.6666985788743073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4"/>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92-4516-9DD6-B97E8B3FE7C1}"/>
                </c:ext>
              </c:extLst>
            </c:dLbl>
            <c:dLbl>
              <c:idx val="3"/>
              <c:layout>
                <c:manualLayout>
                  <c:x val="0.23871854109991661"/>
                  <c:y val="-4.9170611109390368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6">
                          <a:lumMod val="60000"/>
                        </a:schemeClr>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92-4516-9DD6-B97E8B3FE7C1}"/>
                </c:ext>
              </c:extLst>
            </c:dLbl>
            <c:dLbl>
              <c:idx val="4"/>
              <c:layout>
                <c:manualLayout>
                  <c:x val="-0.18733766455687548"/>
                  <c:y val="-3.8945798992512833E-3"/>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5">
                          <a:lumMod val="60000"/>
                        </a:schemeClr>
                      </a:solidFill>
                      <a:latin typeface="Arial" panose="020B0604020202020204" pitchFamily="34" charset="0"/>
                      <a:ea typeface="+mn-ea"/>
                      <a:cs typeface="Arial" panose="020B0604020202020204" pitchFamily="34" charset="0"/>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92-4516-9DD6-B97E8B3FE7C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C_IND!$B$8:$B$12</c:f>
              <c:strCache>
                <c:ptCount val="5"/>
                <c:pt idx="0">
                  <c:v>Microempresa</c:v>
                </c:pt>
                <c:pt idx="1">
                  <c:v>Pequeña empresa</c:v>
                </c:pt>
                <c:pt idx="2">
                  <c:v>Mediana empresa</c:v>
                </c:pt>
                <c:pt idx="3">
                  <c:v>Gran empresa</c:v>
                </c:pt>
                <c:pt idx="4">
                  <c:v>Inf No Detallada</c:v>
                </c:pt>
              </c:strCache>
            </c:strRef>
          </c:cat>
          <c:val>
            <c:numRef>
              <c:f>C_IND!$N$8:$N$12</c:f>
              <c:numCache>
                <c:formatCode>0%</c:formatCode>
                <c:ptCount val="5"/>
                <c:pt idx="0">
                  <c:v>0.41379310344827586</c:v>
                </c:pt>
                <c:pt idx="1">
                  <c:v>0.31034482758620691</c:v>
                </c:pt>
                <c:pt idx="2">
                  <c:v>0.27586206896551724</c:v>
                </c:pt>
                <c:pt idx="3">
                  <c:v>0</c:v>
                </c:pt>
                <c:pt idx="4">
                  <c:v>0</c:v>
                </c:pt>
              </c:numCache>
            </c:numRef>
          </c:val>
          <c:extLst>
            <c:ext xmlns:c16="http://schemas.microsoft.com/office/drawing/2014/chart" uri="{C3380CC4-5D6E-409C-BE32-E72D297353CC}">
              <c16:uniqueId val="{0000000A-6D92-4516-9DD6-B97E8B3FE7C1}"/>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BEBB6C-815B-4B10-827F-C3B0DC04B22E}" type="doc">
      <dgm:prSet loTypeId="urn:microsoft.com/office/officeart/2005/8/layout/hProcess6" loCatId="process" qsTypeId="urn:microsoft.com/office/officeart/2005/8/quickstyle/3d3" qsCatId="3D" csTypeId="urn:microsoft.com/office/officeart/2005/8/colors/accent0_2" csCatId="mainScheme" phldr="1"/>
      <dgm:spPr/>
      <dgm:t>
        <a:bodyPr/>
        <a:lstStyle/>
        <a:p>
          <a:endParaRPr lang="es-ES"/>
        </a:p>
      </dgm:t>
    </dgm:pt>
    <dgm:pt modelId="{B33DE5CB-9459-4E6F-B6F1-2C0AE5FA6BF3}">
      <dgm:prSet phldrT="[Texto]" custT="1"/>
      <dgm:spPr>
        <a:xfrm>
          <a:off x="89594" y="194838"/>
          <a:ext cx="1062339" cy="763293"/>
        </a:xfrm>
        <a:prstGeom prst="ellipse">
          <a:avLst/>
        </a:prstGeom>
        <a:solidFill>
          <a:sysClr val="window" lastClr="FFFFFF">
            <a:lumMod val="7500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s-ES" sz="8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Entrada</a:t>
          </a:r>
        </a:p>
      </dgm:t>
    </dgm:pt>
    <dgm:pt modelId="{6D163B8A-59B1-4E0E-947F-7500AE033099}" type="parTrans" cxnId="{173F33CF-FD59-45D1-9C63-EB3B4FAA2DB2}">
      <dgm:prSet/>
      <dgm:spPr/>
      <dgm:t>
        <a:bodyPr/>
        <a:lstStyle/>
        <a:p>
          <a:pPr algn="ctr"/>
          <a:endParaRPr lang="es-ES"/>
        </a:p>
      </dgm:t>
    </dgm:pt>
    <dgm:pt modelId="{D1E87432-E9E5-48DE-88D7-740282256740}" type="sibTrans" cxnId="{173F33CF-FD59-45D1-9C63-EB3B4FAA2DB2}">
      <dgm:prSet/>
      <dgm:spPr/>
      <dgm:t>
        <a:bodyPr/>
        <a:lstStyle/>
        <a:p>
          <a:pPr algn="ctr"/>
          <a:endParaRPr lang="es-ES"/>
        </a:p>
      </dgm:t>
    </dgm:pt>
    <dgm:pt modelId="{4E6ADFD9-95F8-4346-BA65-6B251BDA1349}">
      <dgm:prSet phldrT="[Texto]" custT="1"/>
      <dgm:spPr>
        <a:xfrm>
          <a:off x="563711" y="-7325"/>
          <a:ext cx="1602977" cy="1052875"/>
        </a:xfrm>
        <a:prstGeom prst="rightArrow">
          <a:avLst>
            <a:gd name="adj1" fmla="val 70000"/>
            <a:gd name="adj2" fmla="val 50000"/>
          </a:avLst>
        </a:prstGeom>
        <a:solidFill>
          <a:sysClr val="window" lastClr="FFFFFF">
            <a:lumMod val="8500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es-ES" sz="8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             Venta de Pólizas</a:t>
          </a:r>
        </a:p>
      </dgm:t>
    </dgm:pt>
    <dgm:pt modelId="{25520D32-430D-41F8-B889-AC17D2117823}" type="parTrans" cxnId="{D2B1B51C-77FE-486F-AD9A-F006B58EAB6E}">
      <dgm:prSet/>
      <dgm:spPr/>
      <dgm:t>
        <a:bodyPr/>
        <a:lstStyle/>
        <a:p>
          <a:pPr algn="ctr"/>
          <a:endParaRPr lang="es-ES"/>
        </a:p>
      </dgm:t>
    </dgm:pt>
    <dgm:pt modelId="{25A56510-E87B-41AC-9CCF-C3D62BD83D49}" type="sibTrans" cxnId="{D2B1B51C-77FE-486F-AD9A-F006B58EAB6E}">
      <dgm:prSet/>
      <dgm:spPr/>
      <dgm:t>
        <a:bodyPr/>
        <a:lstStyle/>
        <a:p>
          <a:pPr algn="ctr"/>
          <a:endParaRPr lang="es-ES"/>
        </a:p>
      </dgm:t>
    </dgm:pt>
    <dgm:pt modelId="{43F8C113-DC33-4ADB-9614-FC054EBC4A32}">
      <dgm:prSet phldrT="[Texto]" custT="1"/>
      <dgm:spPr>
        <a:xfrm>
          <a:off x="1803521" y="173029"/>
          <a:ext cx="959391" cy="673194"/>
        </a:xfrm>
        <a:prstGeom prst="ellipse">
          <a:avLst/>
        </a:prstGeom>
        <a:solidFill>
          <a:srgbClr val="CC9900"/>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s-ES" sz="8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Transformación</a:t>
          </a:r>
          <a:r>
            <a:rPr lang="es-ES" sz="7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 </a:t>
          </a:r>
          <a:endParaRPr lang="es-ES" sz="105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endParaRPr>
        </a:p>
      </dgm:t>
    </dgm:pt>
    <dgm:pt modelId="{35D78838-3A68-467F-90FB-4DDA0D0F4879}" type="parTrans" cxnId="{72B9489A-E602-4075-A327-A5487DACEF4F}">
      <dgm:prSet/>
      <dgm:spPr/>
      <dgm:t>
        <a:bodyPr/>
        <a:lstStyle/>
        <a:p>
          <a:pPr algn="ctr"/>
          <a:endParaRPr lang="es-ES"/>
        </a:p>
      </dgm:t>
    </dgm:pt>
    <dgm:pt modelId="{A8AC5A43-45F9-45E6-82B5-E3E605F0D90E}" type="sibTrans" cxnId="{72B9489A-E602-4075-A327-A5487DACEF4F}">
      <dgm:prSet/>
      <dgm:spPr/>
      <dgm:t>
        <a:bodyPr/>
        <a:lstStyle/>
        <a:p>
          <a:pPr algn="ctr"/>
          <a:endParaRPr lang="es-ES"/>
        </a:p>
      </dgm:t>
    </dgm:pt>
    <dgm:pt modelId="{1447ED52-DC81-4BAE-866E-F80FE7FC501D}">
      <dgm:prSet phldrT="[Texto]" custT="1"/>
      <dgm:spPr>
        <a:xfrm>
          <a:off x="2665768" y="2196"/>
          <a:ext cx="1259248" cy="1033831"/>
        </a:xfrm>
        <a:prstGeom prst="rightArrow">
          <a:avLst>
            <a:gd name="adj1" fmla="val 70000"/>
            <a:gd name="adj2" fmla="val 50000"/>
          </a:avLst>
        </a:prstGeom>
        <a:solidFill>
          <a:srgbClr val="E97132">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es-ES" sz="9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Emisión de Pólizas</a:t>
          </a:r>
        </a:p>
      </dgm:t>
    </dgm:pt>
    <dgm:pt modelId="{E3089C21-F06D-4D00-8912-778219917B40}" type="parTrans" cxnId="{65E01127-50C0-4626-89E4-7999E9A4D885}">
      <dgm:prSet/>
      <dgm:spPr/>
      <dgm:t>
        <a:bodyPr/>
        <a:lstStyle/>
        <a:p>
          <a:pPr algn="ctr"/>
          <a:endParaRPr lang="es-ES"/>
        </a:p>
      </dgm:t>
    </dgm:pt>
    <dgm:pt modelId="{956677D2-5FDC-463B-865C-E1FDC3960BC6}" type="sibTrans" cxnId="{65E01127-50C0-4626-89E4-7999E9A4D885}">
      <dgm:prSet/>
      <dgm:spPr/>
      <dgm:t>
        <a:bodyPr/>
        <a:lstStyle/>
        <a:p>
          <a:pPr algn="ctr"/>
          <a:endParaRPr lang="es-ES"/>
        </a:p>
      </dgm:t>
    </dgm:pt>
    <dgm:pt modelId="{26EA4A56-3467-4F42-BEB2-A406DBBCAF9F}">
      <dgm:prSet phldrT="[Texto]" custT="1"/>
      <dgm:spPr>
        <a:xfrm>
          <a:off x="3695531" y="174401"/>
          <a:ext cx="934755" cy="641332"/>
        </a:xfrm>
        <a:prstGeom prst="ellipse">
          <a:avLst/>
        </a:prstGeom>
        <a:solidFill>
          <a:srgbClr val="FF7575"/>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es-ES" sz="8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Salida</a:t>
          </a:r>
          <a:endParaRPr lang="es-ES" sz="700" b="1"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endParaRPr>
        </a:p>
      </dgm:t>
    </dgm:pt>
    <dgm:pt modelId="{51C1C7E4-EAAF-4C9C-9743-82B4CA93C820}" type="parTrans" cxnId="{AC7785BE-5A0C-47CC-A1AD-DA557161B059}">
      <dgm:prSet/>
      <dgm:spPr/>
      <dgm:t>
        <a:bodyPr/>
        <a:lstStyle/>
        <a:p>
          <a:pPr algn="ctr"/>
          <a:endParaRPr lang="es-ES"/>
        </a:p>
      </dgm:t>
    </dgm:pt>
    <dgm:pt modelId="{7B4230FC-162C-42BE-A82F-6951ED6AB3B7}" type="sibTrans" cxnId="{AC7785BE-5A0C-47CC-A1AD-DA557161B059}">
      <dgm:prSet/>
      <dgm:spPr/>
      <dgm:t>
        <a:bodyPr/>
        <a:lstStyle/>
        <a:p>
          <a:pPr algn="ctr"/>
          <a:endParaRPr lang="es-ES"/>
        </a:p>
      </dgm:t>
    </dgm:pt>
    <dgm:pt modelId="{8CCB9529-F52C-4351-AEDC-06B07AB46A29}">
      <dgm:prSet custT="1"/>
      <dgm:spPr>
        <a:xfrm>
          <a:off x="4157219" y="-49500"/>
          <a:ext cx="1357755" cy="1137225"/>
        </a:xfrm>
        <a:prstGeom prst="rightArrow">
          <a:avLst>
            <a:gd name="adj1" fmla="val 70000"/>
            <a:gd name="adj2" fmla="val 50000"/>
          </a:avLst>
        </a:prstGeom>
        <a:solidFill>
          <a:srgbClr val="0F9ED5">
            <a:lumMod val="60000"/>
            <a:lumOff val="4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lgn="ctr">
            <a:buNone/>
          </a:pPr>
          <a:r>
            <a:rPr lang="es-ES" sz="700" b="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           </a:t>
          </a:r>
          <a:r>
            <a:rPr lang="es-ES" sz="800" b="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Cobro de Primas</a:t>
          </a:r>
          <a:endParaRPr lang="es-CO" sz="700" b="0" baseline="30000">
            <a:solidFill>
              <a:srgbClr val="0E2841">
                <a:hueOff val="0"/>
                <a:satOff val="0"/>
                <a:lumOff val="0"/>
                <a:alphaOff val="0"/>
              </a:srgbClr>
            </a:solidFill>
            <a:latin typeface="Arial Narrow" panose="020B0606020202030204" pitchFamily="34" charset="0"/>
            <a:ea typeface="+mn-ea"/>
            <a:cs typeface="+mn-cs"/>
          </a:endParaRPr>
        </a:p>
      </dgm:t>
    </dgm:pt>
    <dgm:pt modelId="{CB92D02C-347B-443F-854B-869A654D3DE6}" type="parTrans" cxnId="{08434B8B-367A-406F-BEB0-70D612FFBF1B}">
      <dgm:prSet/>
      <dgm:spPr/>
      <dgm:t>
        <a:bodyPr/>
        <a:lstStyle/>
        <a:p>
          <a:pPr algn="ctr"/>
          <a:endParaRPr lang="es-CO"/>
        </a:p>
      </dgm:t>
    </dgm:pt>
    <dgm:pt modelId="{14E05C83-E989-4AFB-A9A5-2737BEA35B68}" type="sibTrans" cxnId="{08434B8B-367A-406F-BEB0-70D612FFBF1B}">
      <dgm:prSet/>
      <dgm:spPr/>
      <dgm:t>
        <a:bodyPr/>
        <a:lstStyle/>
        <a:p>
          <a:pPr algn="ctr"/>
          <a:endParaRPr lang="es-CO"/>
        </a:p>
      </dgm:t>
    </dgm:pt>
    <dgm:pt modelId="{1D4C0B5F-6F6C-4587-9495-9A34D7B9C15B}" type="pres">
      <dgm:prSet presAssocID="{3FBEBB6C-815B-4B10-827F-C3B0DC04B22E}" presName="theList" presStyleCnt="0">
        <dgm:presLayoutVars>
          <dgm:dir/>
          <dgm:animLvl val="lvl"/>
          <dgm:resizeHandles val="exact"/>
        </dgm:presLayoutVars>
      </dgm:prSet>
      <dgm:spPr/>
    </dgm:pt>
    <dgm:pt modelId="{55382969-9948-4964-AF3D-0A6345292B64}" type="pres">
      <dgm:prSet presAssocID="{B33DE5CB-9459-4E6F-B6F1-2C0AE5FA6BF3}" presName="compNode" presStyleCnt="0"/>
      <dgm:spPr/>
    </dgm:pt>
    <dgm:pt modelId="{6C6272BB-6AC1-44DC-9D45-9E87077F4365}" type="pres">
      <dgm:prSet presAssocID="{B33DE5CB-9459-4E6F-B6F1-2C0AE5FA6BF3}" presName="noGeometry" presStyleCnt="0"/>
      <dgm:spPr/>
    </dgm:pt>
    <dgm:pt modelId="{F4B09836-D3DB-4464-A2D2-3E07E882C7F0}" type="pres">
      <dgm:prSet presAssocID="{B33DE5CB-9459-4E6F-B6F1-2C0AE5FA6BF3}" presName="childTextVisible" presStyleLbl="bgAccFollowNode1" presStyleIdx="0" presStyleCnt="3" custScaleX="135535" custScaleY="101842" custLinFactNeighborX="20314" custLinFactNeighborY="709">
        <dgm:presLayoutVars>
          <dgm:bulletEnabled val="1"/>
        </dgm:presLayoutVars>
      </dgm:prSet>
      <dgm:spPr/>
    </dgm:pt>
    <dgm:pt modelId="{9B21F0A1-B2F8-4419-9BDB-F04A53316010}" type="pres">
      <dgm:prSet presAssocID="{B33DE5CB-9459-4E6F-B6F1-2C0AE5FA6BF3}" presName="childTextHidden" presStyleLbl="bgAccFollowNode1" presStyleIdx="0" presStyleCnt="3"/>
      <dgm:spPr/>
    </dgm:pt>
    <dgm:pt modelId="{7D74BE44-8AC8-4BD7-91DE-B178AACE741C}" type="pres">
      <dgm:prSet presAssocID="{B33DE5CB-9459-4E6F-B6F1-2C0AE5FA6BF3}" presName="parentText" presStyleLbl="node1" presStyleIdx="0" presStyleCnt="3" custScaleX="179646" custScaleY="129076" custLinFactNeighborX="14741" custLinFactNeighborY="9702">
        <dgm:presLayoutVars>
          <dgm:chMax val="1"/>
          <dgm:bulletEnabled val="1"/>
        </dgm:presLayoutVars>
      </dgm:prSet>
      <dgm:spPr/>
    </dgm:pt>
    <dgm:pt modelId="{524FC2D5-7A89-49F7-A360-F0CA3C83C2FE}" type="pres">
      <dgm:prSet presAssocID="{B33DE5CB-9459-4E6F-B6F1-2C0AE5FA6BF3}" presName="aSpace" presStyleCnt="0"/>
      <dgm:spPr/>
    </dgm:pt>
    <dgm:pt modelId="{3568FB88-FEC8-431D-B21D-6AD85B517B7D}" type="pres">
      <dgm:prSet presAssocID="{43F8C113-DC33-4ADB-9614-FC054EBC4A32}" presName="compNode" presStyleCnt="0"/>
      <dgm:spPr/>
    </dgm:pt>
    <dgm:pt modelId="{1FCC7183-019A-461D-8E72-BD4E6BA59C74}" type="pres">
      <dgm:prSet presAssocID="{43F8C113-DC33-4ADB-9614-FC054EBC4A32}" presName="noGeometry" presStyleCnt="0"/>
      <dgm:spPr/>
    </dgm:pt>
    <dgm:pt modelId="{A2608BB7-2D66-4CCE-82AA-6D0436297182}" type="pres">
      <dgm:prSet presAssocID="{43F8C113-DC33-4ADB-9614-FC054EBC4A32}" presName="childTextVisible" presStyleLbl="bgAccFollowNode1" presStyleIdx="1" presStyleCnt="3" custScaleX="106472" custLinFactNeighborX="18939">
        <dgm:presLayoutVars>
          <dgm:bulletEnabled val="1"/>
        </dgm:presLayoutVars>
      </dgm:prSet>
      <dgm:spPr/>
    </dgm:pt>
    <dgm:pt modelId="{6A941A03-8A4C-453F-A939-0FC728428F1C}" type="pres">
      <dgm:prSet presAssocID="{43F8C113-DC33-4ADB-9614-FC054EBC4A32}" presName="childTextHidden" presStyleLbl="bgAccFollowNode1" presStyleIdx="1" presStyleCnt="3"/>
      <dgm:spPr/>
    </dgm:pt>
    <dgm:pt modelId="{314635BF-A35B-402A-9B57-B8CD58179464}" type="pres">
      <dgm:prSet presAssocID="{43F8C113-DC33-4ADB-9614-FC054EBC4A32}" presName="parentText" presStyleLbl="node1" presStyleIdx="1" presStyleCnt="3" custScaleX="162237" custScaleY="113840" custLinFactNeighborX="-33285" custLinFactNeighborY="-1604">
        <dgm:presLayoutVars>
          <dgm:chMax val="1"/>
          <dgm:bulletEnabled val="1"/>
        </dgm:presLayoutVars>
      </dgm:prSet>
      <dgm:spPr/>
    </dgm:pt>
    <dgm:pt modelId="{5FAF93B9-6DCB-4056-B263-CD36EBB84312}" type="pres">
      <dgm:prSet presAssocID="{43F8C113-DC33-4ADB-9614-FC054EBC4A32}" presName="aSpace" presStyleCnt="0"/>
      <dgm:spPr/>
    </dgm:pt>
    <dgm:pt modelId="{0E012935-F056-4185-8D68-FEB4506928B3}" type="pres">
      <dgm:prSet presAssocID="{26EA4A56-3467-4F42-BEB2-A406DBBCAF9F}" presName="compNode" presStyleCnt="0"/>
      <dgm:spPr/>
    </dgm:pt>
    <dgm:pt modelId="{9C93B62B-FF18-44D9-9AAC-68DE9387ED41}" type="pres">
      <dgm:prSet presAssocID="{26EA4A56-3467-4F42-BEB2-A406DBBCAF9F}" presName="noGeometry" presStyleCnt="0"/>
      <dgm:spPr/>
    </dgm:pt>
    <dgm:pt modelId="{09D732BB-B6A4-4110-95B1-300DD44CE9E4}" type="pres">
      <dgm:prSet presAssocID="{26EA4A56-3467-4F42-BEB2-A406DBBCAF9F}" presName="childTextVisible" presStyleLbl="bgAccFollowNode1" presStyleIdx="2" presStyleCnt="3" custScaleX="114801" custScaleY="110001" custLinFactNeighborX="17828">
        <dgm:presLayoutVars>
          <dgm:bulletEnabled val="1"/>
        </dgm:presLayoutVars>
      </dgm:prSet>
      <dgm:spPr/>
    </dgm:pt>
    <dgm:pt modelId="{B56872FB-3024-42A2-AF4D-C21CECE1C32D}" type="pres">
      <dgm:prSet presAssocID="{26EA4A56-3467-4F42-BEB2-A406DBBCAF9F}" presName="childTextHidden" presStyleLbl="bgAccFollowNode1" presStyleIdx="2" presStyleCnt="3"/>
      <dgm:spPr/>
    </dgm:pt>
    <dgm:pt modelId="{C8473763-A3C5-4B06-9165-FE03CD55B318}" type="pres">
      <dgm:prSet presAssocID="{26EA4A56-3467-4F42-BEB2-A406DBBCAF9F}" presName="parentText" presStyleLbl="node1" presStyleIdx="2" presStyleCnt="3" custScaleX="158071" custScaleY="108452" custLinFactNeighborX="-13429" custLinFactNeighborY="-4066">
        <dgm:presLayoutVars>
          <dgm:chMax val="1"/>
          <dgm:bulletEnabled val="1"/>
        </dgm:presLayoutVars>
      </dgm:prSet>
      <dgm:spPr/>
    </dgm:pt>
  </dgm:ptLst>
  <dgm:cxnLst>
    <dgm:cxn modelId="{4E1EA508-45E4-4C4F-BD5C-7C754069A4FC}" type="presOf" srcId="{4E6ADFD9-95F8-4346-BA65-6B251BDA1349}" destId="{F4B09836-D3DB-4464-A2D2-3E07E882C7F0}" srcOrd="0" destOrd="0" presId="urn:microsoft.com/office/officeart/2005/8/layout/hProcess6"/>
    <dgm:cxn modelId="{36169A0E-9D0A-48E6-906D-A9EA9B0753CF}" type="presOf" srcId="{3FBEBB6C-815B-4B10-827F-C3B0DC04B22E}" destId="{1D4C0B5F-6F6C-4587-9495-9A34D7B9C15B}" srcOrd="0" destOrd="0" presId="urn:microsoft.com/office/officeart/2005/8/layout/hProcess6"/>
    <dgm:cxn modelId="{D2B1B51C-77FE-486F-AD9A-F006B58EAB6E}" srcId="{B33DE5CB-9459-4E6F-B6F1-2C0AE5FA6BF3}" destId="{4E6ADFD9-95F8-4346-BA65-6B251BDA1349}" srcOrd="0" destOrd="0" parTransId="{25520D32-430D-41F8-B889-AC17D2117823}" sibTransId="{25A56510-E87B-41AC-9CCF-C3D62BD83D49}"/>
    <dgm:cxn modelId="{CFC5B320-276A-403A-96FB-B5F9BB86FC31}" type="presOf" srcId="{43F8C113-DC33-4ADB-9614-FC054EBC4A32}" destId="{314635BF-A35B-402A-9B57-B8CD58179464}" srcOrd="0" destOrd="0" presId="urn:microsoft.com/office/officeart/2005/8/layout/hProcess6"/>
    <dgm:cxn modelId="{5F985E22-A4E0-4F6A-B4FB-0A4A28C9B65F}" type="presOf" srcId="{26EA4A56-3467-4F42-BEB2-A406DBBCAF9F}" destId="{C8473763-A3C5-4B06-9165-FE03CD55B318}" srcOrd="0" destOrd="0" presId="urn:microsoft.com/office/officeart/2005/8/layout/hProcess6"/>
    <dgm:cxn modelId="{65E01127-50C0-4626-89E4-7999E9A4D885}" srcId="{43F8C113-DC33-4ADB-9614-FC054EBC4A32}" destId="{1447ED52-DC81-4BAE-866E-F80FE7FC501D}" srcOrd="0" destOrd="0" parTransId="{E3089C21-F06D-4D00-8912-778219917B40}" sibTransId="{956677D2-5FDC-463B-865C-E1FDC3960BC6}"/>
    <dgm:cxn modelId="{E08C3E40-F248-48C8-89CD-20ACE0ADC616}" type="presOf" srcId="{4E6ADFD9-95F8-4346-BA65-6B251BDA1349}" destId="{9B21F0A1-B2F8-4419-9BDB-F04A53316010}" srcOrd="1" destOrd="0" presId="urn:microsoft.com/office/officeart/2005/8/layout/hProcess6"/>
    <dgm:cxn modelId="{24BA5442-5F91-48C0-976A-BCB43D796123}" type="presOf" srcId="{8CCB9529-F52C-4351-AEDC-06B07AB46A29}" destId="{09D732BB-B6A4-4110-95B1-300DD44CE9E4}" srcOrd="0" destOrd="0" presId="urn:microsoft.com/office/officeart/2005/8/layout/hProcess6"/>
    <dgm:cxn modelId="{08434B8B-367A-406F-BEB0-70D612FFBF1B}" srcId="{26EA4A56-3467-4F42-BEB2-A406DBBCAF9F}" destId="{8CCB9529-F52C-4351-AEDC-06B07AB46A29}" srcOrd="0" destOrd="0" parTransId="{CB92D02C-347B-443F-854B-869A654D3DE6}" sibTransId="{14E05C83-E989-4AFB-A9A5-2737BEA35B68}"/>
    <dgm:cxn modelId="{72B9489A-E602-4075-A327-A5487DACEF4F}" srcId="{3FBEBB6C-815B-4B10-827F-C3B0DC04B22E}" destId="{43F8C113-DC33-4ADB-9614-FC054EBC4A32}" srcOrd="1" destOrd="0" parTransId="{35D78838-3A68-467F-90FB-4DDA0D0F4879}" sibTransId="{A8AC5A43-45F9-45E6-82B5-E3E605F0D90E}"/>
    <dgm:cxn modelId="{507D91A0-E4E0-4471-A28C-A705E16BE281}" type="presOf" srcId="{1447ED52-DC81-4BAE-866E-F80FE7FC501D}" destId="{6A941A03-8A4C-453F-A939-0FC728428F1C}" srcOrd="1" destOrd="0" presId="urn:microsoft.com/office/officeart/2005/8/layout/hProcess6"/>
    <dgm:cxn modelId="{717B3DA9-9AF0-4151-804D-360354AF36CD}" type="presOf" srcId="{1447ED52-DC81-4BAE-866E-F80FE7FC501D}" destId="{A2608BB7-2D66-4CCE-82AA-6D0436297182}" srcOrd="0" destOrd="0" presId="urn:microsoft.com/office/officeart/2005/8/layout/hProcess6"/>
    <dgm:cxn modelId="{6B35ADB0-F0CF-4D5D-B1FB-801EBD8743CF}" type="presOf" srcId="{B33DE5CB-9459-4E6F-B6F1-2C0AE5FA6BF3}" destId="{7D74BE44-8AC8-4BD7-91DE-B178AACE741C}" srcOrd="0" destOrd="0" presId="urn:microsoft.com/office/officeart/2005/8/layout/hProcess6"/>
    <dgm:cxn modelId="{AC7785BE-5A0C-47CC-A1AD-DA557161B059}" srcId="{3FBEBB6C-815B-4B10-827F-C3B0DC04B22E}" destId="{26EA4A56-3467-4F42-BEB2-A406DBBCAF9F}" srcOrd="2" destOrd="0" parTransId="{51C1C7E4-EAAF-4C9C-9743-82B4CA93C820}" sibTransId="{7B4230FC-162C-42BE-A82F-6951ED6AB3B7}"/>
    <dgm:cxn modelId="{173F33CF-FD59-45D1-9C63-EB3B4FAA2DB2}" srcId="{3FBEBB6C-815B-4B10-827F-C3B0DC04B22E}" destId="{B33DE5CB-9459-4E6F-B6F1-2C0AE5FA6BF3}" srcOrd="0" destOrd="0" parTransId="{6D163B8A-59B1-4E0E-947F-7500AE033099}" sibTransId="{D1E87432-E9E5-48DE-88D7-740282256740}"/>
    <dgm:cxn modelId="{B0A336E3-18DD-43FF-9E61-526120177F02}" type="presOf" srcId="{8CCB9529-F52C-4351-AEDC-06B07AB46A29}" destId="{B56872FB-3024-42A2-AF4D-C21CECE1C32D}" srcOrd="1" destOrd="0" presId="urn:microsoft.com/office/officeart/2005/8/layout/hProcess6"/>
    <dgm:cxn modelId="{4E5CF53D-0808-4D8B-8633-81C93D41F588}" type="presParOf" srcId="{1D4C0B5F-6F6C-4587-9495-9A34D7B9C15B}" destId="{55382969-9948-4964-AF3D-0A6345292B64}" srcOrd="0" destOrd="0" presId="urn:microsoft.com/office/officeart/2005/8/layout/hProcess6"/>
    <dgm:cxn modelId="{EE6DEB89-3EDF-4A30-B940-746FC7693F28}" type="presParOf" srcId="{55382969-9948-4964-AF3D-0A6345292B64}" destId="{6C6272BB-6AC1-44DC-9D45-9E87077F4365}" srcOrd="0" destOrd="0" presId="urn:microsoft.com/office/officeart/2005/8/layout/hProcess6"/>
    <dgm:cxn modelId="{8A0BAB37-BBAB-4A65-8EC6-74C51C6590CC}" type="presParOf" srcId="{55382969-9948-4964-AF3D-0A6345292B64}" destId="{F4B09836-D3DB-4464-A2D2-3E07E882C7F0}" srcOrd="1" destOrd="0" presId="urn:microsoft.com/office/officeart/2005/8/layout/hProcess6"/>
    <dgm:cxn modelId="{4067DBE8-3497-49B7-8CB9-3FDEF84E4971}" type="presParOf" srcId="{55382969-9948-4964-AF3D-0A6345292B64}" destId="{9B21F0A1-B2F8-4419-9BDB-F04A53316010}" srcOrd="2" destOrd="0" presId="urn:microsoft.com/office/officeart/2005/8/layout/hProcess6"/>
    <dgm:cxn modelId="{E66F155E-3974-4A40-968C-4A1E96674751}" type="presParOf" srcId="{55382969-9948-4964-AF3D-0A6345292B64}" destId="{7D74BE44-8AC8-4BD7-91DE-B178AACE741C}" srcOrd="3" destOrd="0" presId="urn:microsoft.com/office/officeart/2005/8/layout/hProcess6"/>
    <dgm:cxn modelId="{FFBA4AB5-D4E8-4118-AACD-96C82E7E7589}" type="presParOf" srcId="{1D4C0B5F-6F6C-4587-9495-9A34D7B9C15B}" destId="{524FC2D5-7A89-49F7-A360-F0CA3C83C2FE}" srcOrd="1" destOrd="0" presId="urn:microsoft.com/office/officeart/2005/8/layout/hProcess6"/>
    <dgm:cxn modelId="{FEB61DF5-9FCA-4524-AF87-68AE4AA07A5C}" type="presParOf" srcId="{1D4C0B5F-6F6C-4587-9495-9A34D7B9C15B}" destId="{3568FB88-FEC8-431D-B21D-6AD85B517B7D}" srcOrd="2" destOrd="0" presId="urn:microsoft.com/office/officeart/2005/8/layout/hProcess6"/>
    <dgm:cxn modelId="{7C0B0DA7-4937-45EB-AF47-D3E11DCA8FA9}" type="presParOf" srcId="{3568FB88-FEC8-431D-B21D-6AD85B517B7D}" destId="{1FCC7183-019A-461D-8E72-BD4E6BA59C74}" srcOrd="0" destOrd="0" presId="urn:microsoft.com/office/officeart/2005/8/layout/hProcess6"/>
    <dgm:cxn modelId="{E7F0EAF6-6E56-4967-A3B2-9B703CA815C2}" type="presParOf" srcId="{3568FB88-FEC8-431D-B21D-6AD85B517B7D}" destId="{A2608BB7-2D66-4CCE-82AA-6D0436297182}" srcOrd="1" destOrd="0" presId="urn:microsoft.com/office/officeart/2005/8/layout/hProcess6"/>
    <dgm:cxn modelId="{81938599-01DD-4B76-A3DE-6DFF4EB5C077}" type="presParOf" srcId="{3568FB88-FEC8-431D-B21D-6AD85B517B7D}" destId="{6A941A03-8A4C-453F-A939-0FC728428F1C}" srcOrd="2" destOrd="0" presId="urn:microsoft.com/office/officeart/2005/8/layout/hProcess6"/>
    <dgm:cxn modelId="{64E8B310-ECD5-45BC-B9A4-06E6A006AEB5}" type="presParOf" srcId="{3568FB88-FEC8-431D-B21D-6AD85B517B7D}" destId="{314635BF-A35B-402A-9B57-B8CD58179464}" srcOrd="3" destOrd="0" presId="urn:microsoft.com/office/officeart/2005/8/layout/hProcess6"/>
    <dgm:cxn modelId="{EA427FD2-8F8C-4267-8222-F29E40BCADFD}" type="presParOf" srcId="{1D4C0B5F-6F6C-4587-9495-9A34D7B9C15B}" destId="{5FAF93B9-6DCB-4056-B263-CD36EBB84312}" srcOrd="3" destOrd="0" presId="urn:microsoft.com/office/officeart/2005/8/layout/hProcess6"/>
    <dgm:cxn modelId="{3BDFE977-C950-4CEE-97CE-F78C559C4B22}" type="presParOf" srcId="{1D4C0B5F-6F6C-4587-9495-9A34D7B9C15B}" destId="{0E012935-F056-4185-8D68-FEB4506928B3}" srcOrd="4" destOrd="0" presId="urn:microsoft.com/office/officeart/2005/8/layout/hProcess6"/>
    <dgm:cxn modelId="{BF257FF8-4B0B-4621-B6C4-6F4D1794A823}" type="presParOf" srcId="{0E012935-F056-4185-8D68-FEB4506928B3}" destId="{9C93B62B-FF18-44D9-9AAC-68DE9387ED41}" srcOrd="0" destOrd="0" presId="urn:microsoft.com/office/officeart/2005/8/layout/hProcess6"/>
    <dgm:cxn modelId="{FAF28701-D184-4954-B27F-B277838676AB}" type="presParOf" srcId="{0E012935-F056-4185-8D68-FEB4506928B3}" destId="{09D732BB-B6A4-4110-95B1-300DD44CE9E4}" srcOrd="1" destOrd="0" presId="urn:microsoft.com/office/officeart/2005/8/layout/hProcess6"/>
    <dgm:cxn modelId="{BAF462D6-14C0-4473-970B-435148F7D662}" type="presParOf" srcId="{0E012935-F056-4185-8D68-FEB4506928B3}" destId="{B56872FB-3024-42A2-AF4D-C21CECE1C32D}" srcOrd="2" destOrd="0" presId="urn:microsoft.com/office/officeart/2005/8/layout/hProcess6"/>
    <dgm:cxn modelId="{8028F0A6-BFD9-429A-92B7-8688C5232195}" type="presParOf" srcId="{0E012935-F056-4185-8D68-FEB4506928B3}" destId="{C8473763-A3C5-4B06-9165-FE03CD55B318}" srcOrd="3" destOrd="0" presId="urn:microsoft.com/office/officeart/2005/8/layout/hProcess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ED5AB6-3CCE-486E-83CB-AEF69539C21F}" type="doc">
      <dgm:prSet loTypeId="urn:microsoft.com/office/officeart/2005/8/layout/hProcess6" loCatId="process" qsTypeId="urn:microsoft.com/office/officeart/2005/8/quickstyle/simple2" qsCatId="simple" csTypeId="urn:microsoft.com/office/officeart/2005/8/colors/accent0_1" csCatId="mainScheme" phldr="1"/>
      <dgm:spPr/>
      <dgm:t>
        <a:bodyPr/>
        <a:lstStyle/>
        <a:p>
          <a:endParaRPr lang="es-CO"/>
        </a:p>
      </dgm:t>
    </dgm:pt>
    <dgm:pt modelId="{081C3557-C51A-4516-A14B-33AEBB17DB39}">
      <dgm:prSet phldrT="[Texto]" custT="1"/>
      <dgm:spPr>
        <a:xfrm>
          <a:off x="208878" y="160471"/>
          <a:ext cx="715392" cy="606281"/>
        </a:xfrm>
        <a:prstGeom prst="ellipse">
          <a:avLst/>
        </a:prstGeom>
        <a:solidFill>
          <a:srgbClr val="FF9966"/>
        </a:solidFill>
        <a:ln w="19050" cap="flat" cmpd="sng" algn="ctr">
          <a:solidFill>
            <a:sysClr val="windowText" lastClr="000000">
              <a:shade val="80000"/>
              <a:hueOff val="0"/>
              <a:satOff val="0"/>
              <a:lumOff val="0"/>
              <a:alphaOff val="0"/>
            </a:sysClr>
          </a:solidFill>
          <a:prstDash val="solid"/>
          <a:miter lim="800000"/>
        </a:ln>
        <a:effectLst/>
      </dgm:spPr>
      <dgm:t>
        <a:bodyPr/>
        <a:lstStyle/>
        <a:p>
          <a:pPr algn="just">
            <a:buNone/>
          </a:pPr>
          <a:r>
            <a:rPr lang="es-CO" sz="700" dirty="0">
              <a:solidFill>
                <a:sysClr val="windowText" lastClr="000000">
                  <a:hueOff val="0"/>
                  <a:satOff val="0"/>
                  <a:lumOff val="0"/>
                  <a:alphaOff val="0"/>
                </a:sysClr>
              </a:solidFill>
              <a:latin typeface="Arial Narrow" pitchFamily="34" charset="0"/>
              <a:ea typeface="+mn-ea"/>
              <a:cs typeface="+mn-cs"/>
            </a:rPr>
            <a:t>ENTRADA</a:t>
          </a:r>
          <a:endParaRPr lang="es-CO" sz="800" dirty="0">
            <a:solidFill>
              <a:sysClr val="windowText" lastClr="000000">
                <a:hueOff val="0"/>
                <a:satOff val="0"/>
                <a:lumOff val="0"/>
                <a:alphaOff val="0"/>
              </a:sysClr>
            </a:solidFill>
            <a:latin typeface="Arial Narrow" pitchFamily="34" charset="0"/>
            <a:ea typeface="+mn-ea"/>
            <a:cs typeface="+mn-cs"/>
          </a:endParaRPr>
        </a:p>
      </dgm:t>
    </dgm:pt>
    <dgm:pt modelId="{CBF44749-1896-439A-98C5-A9CE9666AD0D}" type="parTrans" cxnId="{C798C605-DC7D-4B20-8491-F2AF6EE7B157}">
      <dgm:prSet/>
      <dgm:spPr/>
      <dgm:t>
        <a:bodyPr/>
        <a:lstStyle/>
        <a:p>
          <a:pPr algn="just"/>
          <a:endParaRPr lang="es-CO" sz="800"/>
        </a:p>
      </dgm:t>
    </dgm:pt>
    <dgm:pt modelId="{3344D1FD-96EC-4788-A6DF-8B1C60E36A64}" type="sibTrans" cxnId="{C798C605-DC7D-4B20-8491-F2AF6EE7B157}">
      <dgm:prSet/>
      <dgm:spPr/>
      <dgm:t>
        <a:bodyPr/>
        <a:lstStyle/>
        <a:p>
          <a:pPr algn="just"/>
          <a:endParaRPr lang="es-CO" sz="800"/>
        </a:p>
      </dgm:t>
    </dgm:pt>
    <dgm:pt modelId="{7EAE927A-6386-4416-A956-9B279727A7F6}">
      <dgm:prSet phldrT="[Texto]" custT="1"/>
      <dgm:spPr>
        <a:xfrm>
          <a:off x="819550" y="0"/>
          <a:ext cx="1239887" cy="942975"/>
        </a:xfrm>
        <a:prstGeom prst="rightArrow">
          <a:avLst>
            <a:gd name="adj1" fmla="val 70000"/>
            <a:gd name="adj2" fmla="val 50000"/>
          </a:avLst>
        </a:prstGeom>
        <a:solidFill>
          <a:srgbClr val="E97132">
            <a:lumMod val="40000"/>
            <a:lumOff val="60000"/>
            <a:alpha val="90000"/>
          </a:srgb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buNone/>
          </a:pPr>
          <a:r>
            <a:rPr lang="es-CO" sz="800" dirty="0">
              <a:solidFill>
                <a:sysClr val="windowText" lastClr="000000">
                  <a:hueOff val="0"/>
                  <a:satOff val="0"/>
                  <a:lumOff val="0"/>
                  <a:alphaOff val="0"/>
                </a:sysClr>
              </a:solidFill>
              <a:latin typeface="Arial Narrow" pitchFamily="34" charset="0"/>
              <a:ea typeface="+mn-ea"/>
              <a:cs typeface="+mn-cs"/>
            </a:rPr>
            <a:t> Aviso de ocurrencia de un siniestro</a:t>
          </a:r>
        </a:p>
      </dgm:t>
    </dgm:pt>
    <dgm:pt modelId="{98CC4E59-BB2A-47F9-8AF8-D419D2CB4DA3}" type="parTrans" cxnId="{6AF96280-4491-4FC4-A55D-8C32CE09439A}">
      <dgm:prSet/>
      <dgm:spPr/>
      <dgm:t>
        <a:bodyPr/>
        <a:lstStyle/>
        <a:p>
          <a:pPr algn="just"/>
          <a:endParaRPr lang="es-CO" sz="800"/>
        </a:p>
      </dgm:t>
    </dgm:pt>
    <dgm:pt modelId="{2753C8C2-912B-49C8-8497-815F10AA6CD8}" type="sibTrans" cxnId="{6AF96280-4491-4FC4-A55D-8C32CE09439A}">
      <dgm:prSet/>
      <dgm:spPr/>
      <dgm:t>
        <a:bodyPr/>
        <a:lstStyle/>
        <a:p>
          <a:pPr algn="just"/>
          <a:endParaRPr lang="es-CO" sz="800"/>
        </a:p>
      </dgm:t>
    </dgm:pt>
    <dgm:pt modelId="{58C87080-E191-4D5F-8B54-500C6A818F9B}">
      <dgm:prSet phldrT="[Texto]" custT="1"/>
      <dgm:spPr>
        <a:xfrm>
          <a:off x="2008476" y="161583"/>
          <a:ext cx="786779" cy="625073"/>
        </a:xfrm>
        <a:prstGeom prst="ellipse">
          <a:avLst/>
        </a:prstGeom>
        <a:solidFill>
          <a:srgbClr val="C0C0C0"/>
        </a:solidFill>
        <a:ln w="19050" cap="flat" cmpd="sng" algn="ctr">
          <a:solidFill>
            <a:sysClr val="windowText" lastClr="000000">
              <a:shade val="80000"/>
              <a:hueOff val="0"/>
              <a:satOff val="0"/>
              <a:lumOff val="0"/>
              <a:alphaOff val="0"/>
            </a:sysClr>
          </a:solidFill>
          <a:prstDash val="solid"/>
          <a:miter lim="800000"/>
        </a:ln>
        <a:effectLst/>
      </dgm:spPr>
      <dgm:t>
        <a:bodyPr/>
        <a:lstStyle/>
        <a:p>
          <a:pPr algn="just">
            <a:buNone/>
          </a:pPr>
          <a:r>
            <a:rPr lang="es-CO" sz="700" baseline="0" dirty="0">
              <a:solidFill>
                <a:sysClr val="windowText" lastClr="000000">
                  <a:hueOff val="0"/>
                  <a:satOff val="0"/>
                  <a:lumOff val="0"/>
                  <a:alphaOff val="0"/>
                </a:sysClr>
              </a:solidFill>
              <a:latin typeface="Arial Narrow" pitchFamily="34" charset="0"/>
              <a:ea typeface="+mn-ea"/>
              <a:cs typeface="+mn-cs"/>
            </a:rPr>
            <a:t>PROCESO</a:t>
          </a:r>
          <a:r>
            <a:rPr lang="es-CO" sz="700" dirty="0">
              <a:solidFill>
                <a:sysClr val="windowText" lastClr="000000">
                  <a:hueOff val="0"/>
                  <a:satOff val="0"/>
                  <a:lumOff val="0"/>
                  <a:alphaOff val="0"/>
                </a:sysClr>
              </a:solidFill>
              <a:latin typeface="Arial Narrow" pitchFamily="34" charset="0"/>
              <a:ea typeface="+mn-ea"/>
              <a:cs typeface="+mn-cs"/>
            </a:rPr>
            <a:t> </a:t>
          </a:r>
        </a:p>
      </dgm:t>
    </dgm:pt>
    <dgm:pt modelId="{6D891F7D-5284-4861-B9E3-73AD59B3AE8E}" type="parTrans" cxnId="{08FF9791-70E2-418A-9098-449154BAB979}">
      <dgm:prSet/>
      <dgm:spPr/>
      <dgm:t>
        <a:bodyPr/>
        <a:lstStyle/>
        <a:p>
          <a:pPr algn="just"/>
          <a:endParaRPr lang="es-CO" sz="800"/>
        </a:p>
      </dgm:t>
    </dgm:pt>
    <dgm:pt modelId="{2044EDD3-4FF0-4BBD-962A-83EFEEC22671}" type="sibTrans" cxnId="{08FF9791-70E2-418A-9098-449154BAB979}">
      <dgm:prSet/>
      <dgm:spPr/>
      <dgm:t>
        <a:bodyPr/>
        <a:lstStyle/>
        <a:p>
          <a:pPr algn="just"/>
          <a:endParaRPr lang="es-CO" sz="800"/>
        </a:p>
      </dgm:t>
    </dgm:pt>
    <dgm:pt modelId="{6157A8E0-FD98-4E0D-84E0-7D55A5FF97E8}">
      <dgm:prSet phldrT="[Texto]" custT="1"/>
      <dgm:spPr>
        <a:xfrm>
          <a:off x="3514970" y="116145"/>
          <a:ext cx="813279" cy="607564"/>
        </a:xfrm>
        <a:prstGeom prst="ellipse">
          <a:avLst/>
        </a:prstGeom>
        <a:solidFill>
          <a:srgbClr val="FFFF99"/>
        </a:solidFill>
        <a:ln w="19050" cap="flat" cmpd="sng" algn="ctr">
          <a:solidFill>
            <a:sysClr val="windowText" lastClr="000000">
              <a:shade val="80000"/>
              <a:hueOff val="0"/>
              <a:satOff val="0"/>
              <a:lumOff val="0"/>
              <a:alphaOff val="0"/>
            </a:sysClr>
          </a:solidFill>
          <a:prstDash val="solid"/>
          <a:miter lim="800000"/>
        </a:ln>
        <a:effectLst/>
      </dgm:spPr>
      <dgm:t>
        <a:bodyPr/>
        <a:lstStyle/>
        <a:p>
          <a:pPr algn="just">
            <a:buNone/>
          </a:pPr>
          <a:r>
            <a:rPr lang="es-CO" sz="700" dirty="0">
              <a:solidFill>
                <a:sysClr val="windowText" lastClr="000000">
                  <a:hueOff val="0"/>
                  <a:satOff val="0"/>
                  <a:lumOff val="0"/>
                  <a:alphaOff val="0"/>
                </a:sysClr>
              </a:solidFill>
              <a:latin typeface="Arial Narrow" pitchFamily="34" charset="0"/>
              <a:ea typeface="+mn-ea"/>
              <a:cs typeface="+mn-cs"/>
            </a:rPr>
            <a:t>SALIDA</a:t>
          </a:r>
        </a:p>
      </dgm:t>
    </dgm:pt>
    <dgm:pt modelId="{52AD6137-0187-42FC-9F5D-90F339D111A3}" type="parTrans" cxnId="{EF34F964-0C04-4B71-83D6-DB5F5A6588A3}">
      <dgm:prSet/>
      <dgm:spPr/>
      <dgm:t>
        <a:bodyPr/>
        <a:lstStyle/>
        <a:p>
          <a:pPr algn="just"/>
          <a:endParaRPr lang="es-CO" sz="800"/>
        </a:p>
      </dgm:t>
    </dgm:pt>
    <dgm:pt modelId="{BA149F64-5DAE-459D-A99F-0027FAE81AAE}" type="sibTrans" cxnId="{EF34F964-0C04-4B71-83D6-DB5F5A6588A3}">
      <dgm:prSet/>
      <dgm:spPr/>
      <dgm:t>
        <a:bodyPr/>
        <a:lstStyle/>
        <a:p>
          <a:pPr algn="just"/>
          <a:endParaRPr lang="es-CO" sz="800"/>
        </a:p>
      </dgm:t>
    </dgm:pt>
    <dgm:pt modelId="{3BE6B5EF-541D-40E5-83DD-ECF3B04559E5}">
      <dgm:prSet phldrT="[Texto]" custT="1"/>
      <dgm:spPr>
        <a:xfrm>
          <a:off x="2676589" y="0"/>
          <a:ext cx="1283642" cy="942975"/>
        </a:xfrm>
        <a:prstGeom prst="rightArrow">
          <a:avLst>
            <a:gd name="adj1" fmla="val 70000"/>
            <a:gd name="adj2" fmla="val 50000"/>
          </a:avLst>
        </a:prstGeom>
        <a:solidFill>
          <a:sysClr val="window" lastClr="FFFFFF">
            <a:lumMod val="85000"/>
          </a:sys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buNone/>
          </a:pPr>
          <a:r>
            <a:rPr lang="es-CO" sz="700" dirty="0">
              <a:solidFill>
                <a:sysClr val="windowText" lastClr="000000">
                  <a:hueOff val="0"/>
                  <a:satOff val="0"/>
                  <a:lumOff val="0"/>
                  <a:alphaOff val="0"/>
                </a:sysClr>
              </a:solidFill>
              <a:latin typeface="Arial Narrow" pitchFamily="34" charset="0"/>
              <a:ea typeface="+mn-ea"/>
              <a:cs typeface="+mn-cs"/>
            </a:rPr>
            <a:t>Verificación de documenos  acorde al siniestros</a:t>
          </a:r>
        </a:p>
      </dgm:t>
    </dgm:pt>
    <dgm:pt modelId="{DE0F84E7-E185-4A23-AE86-15FC91988041}" type="parTrans" cxnId="{1E51328C-105B-4FA5-A119-6FAF0DBEBC55}">
      <dgm:prSet/>
      <dgm:spPr/>
      <dgm:t>
        <a:bodyPr/>
        <a:lstStyle/>
        <a:p>
          <a:pPr algn="just"/>
          <a:endParaRPr lang="es-CO" sz="800"/>
        </a:p>
      </dgm:t>
    </dgm:pt>
    <dgm:pt modelId="{B4A0F479-95ED-45A1-B07F-315453693A28}" type="sibTrans" cxnId="{1E51328C-105B-4FA5-A119-6FAF0DBEBC55}">
      <dgm:prSet/>
      <dgm:spPr/>
      <dgm:t>
        <a:bodyPr/>
        <a:lstStyle/>
        <a:p>
          <a:pPr algn="just"/>
          <a:endParaRPr lang="es-CO" sz="800"/>
        </a:p>
      </dgm:t>
    </dgm:pt>
    <dgm:pt modelId="{30F2A8EC-FBFF-4CAF-868A-3542BDA80D88}">
      <dgm:prSet custT="1"/>
      <dgm:spPr>
        <a:xfrm>
          <a:off x="4153619" y="-52589"/>
          <a:ext cx="1218970" cy="1048154"/>
        </a:xfrm>
        <a:prstGeom prst="rightArrow">
          <a:avLst>
            <a:gd name="adj1" fmla="val 70000"/>
            <a:gd name="adj2" fmla="val 50000"/>
          </a:avLst>
        </a:prstGeom>
        <a:solidFill>
          <a:srgbClr val="0F9ED5">
            <a:lumMod val="40000"/>
            <a:lumOff val="60000"/>
            <a:alpha val="90000"/>
          </a:srgbClr>
        </a:solidFill>
        <a:ln w="12700" cap="flat" cmpd="sng" algn="ctr">
          <a:solidFill>
            <a:sysClr val="windowText" lastClr="000000">
              <a:alpha val="90000"/>
              <a:hueOff val="0"/>
              <a:satOff val="0"/>
              <a:lumOff val="0"/>
              <a:alphaOff val="0"/>
            </a:sysClr>
          </a:solidFill>
          <a:prstDash val="solid"/>
          <a:miter lim="800000"/>
        </a:ln>
        <a:effectLst/>
      </dgm:spPr>
      <dgm:t>
        <a:bodyPr/>
        <a:lstStyle/>
        <a:p>
          <a:pPr algn="just">
            <a:buNone/>
          </a:pPr>
          <a:r>
            <a:rPr lang="es-CO" sz="800" b="0" dirty="0">
              <a:solidFill>
                <a:sysClr val="windowText" lastClr="000000">
                  <a:hueOff val="0"/>
                  <a:satOff val="0"/>
                  <a:lumOff val="0"/>
                  <a:alphaOff val="0"/>
                </a:sysClr>
              </a:solidFill>
              <a:latin typeface="Arial Narrow" panose="020B0606020202030204" pitchFamily="34" charset="0"/>
              <a:ea typeface="+mn-ea"/>
              <a:cs typeface="+mn-cs"/>
            </a:rPr>
            <a:t>Indemnización del siniestro</a:t>
          </a:r>
        </a:p>
      </dgm:t>
    </dgm:pt>
    <dgm:pt modelId="{03B28D15-F28B-4186-9056-B981364C06D1}" type="parTrans" cxnId="{42D5FE6B-78F3-4B09-B7F8-79DA08D670E9}">
      <dgm:prSet/>
      <dgm:spPr/>
      <dgm:t>
        <a:bodyPr/>
        <a:lstStyle/>
        <a:p>
          <a:pPr algn="just"/>
          <a:endParaRPr lang="es-CO" sz="800"/>
        </a:p>
      </dgm:t>
    </dgm:pt>
    <dgm:pt modelId="{B3F4C868-E52D-45A5-AB54-490AADC59899}" type="sibTrans" cxnId="{42D5FE6B-78F3-4B09-B7F8-79DA08D670E9}">
      <dgm:prSet/>
      <dgm:spPr/>
      <dgm:t>
        <a:bodyPr/>
        <a:lstStyle/>
        <a:p>
          <a:pPr algn="just"/>
          <a:endParaRPr lang="es-CO" sz="800"/>
        </a:p>
      </dgm:t>
    </dgm:pt>
    <dgm:pt modelId="{4C904C7F-3F15-4987-B9B5-99845FA84664}" type="pres">
      <dgm:prSet presAssocID="{A4ED5AB6-3CCE-486E-83CB-AEF69539C21F}" presName="theList" presStyleCnt="0">
        <dgm:presLayoutVars>
          <dgm:dir/>
          <dgm:animLvl val="lvl"/>
          <dgm:resizeHandles val="exact"/>
        </dgm:presLayoutVars>
      </dgm:prSet>
      <dgm:spPr/>
    </dgm:pt>
    <dgm:pt modelId="{0C7E55B4-3BA5-438A-90D2-B036A7D0C274}" type="pres">
      <dgm:prSet presAssocID="{081C3557-C51A-4516-A14B-33AEBB17DB39}" presName="compNode" presStyleCnt="0"/>
      <dgm:spPr/>
    </dgm:pt>
    <dgm:pt modelId="{20E0759A-3878-4E9F-B92B-53517FD4FE36}" type="pres">
      <dgm:prSet presAssocID="{081C3557-C51A-4516-A14B-33AEBB17DB39}" presName="noGeometry" presStyleCnt="0"/>
      <dgm:spPr/>
    </dgm:pt>
    <dgm:pt modelId="{D838AB92-B5A1-490A-882C-9B39A3AB0FCE}" type="pres">
      <dgm:prSet presAssocID="{081C3557-C51A-4516-A14B-33AEBB17DB39}" presName="childTextVisible" presStyleLbl="bgAccFollowNode1" presStyleIdx="0" presStyleCnt="3" custScaleX="114936" custLinFactNeighborX="11681" custLinFactNeighborY="-1003">
        <dgm:presLayoutVars>
          <dgm:bulletEnabled val="1"/>
        </dgm:presLayoutVars>
      </dgm:prSet>
      <dgm:spPr/>
    </dgm:pt>
    <dgm:pt modelId="{4F107371-8BF8-4FD9-8ED7-11E173C43E6F}" type="pres">
      <dgm:prSet presAssocID="{081C3557-C51A-4516-A14B-33AEBB17DB39}" presName="childTextHidden" presStyleLbl="bgAccFollowNode1" presStyleIdx="0" presStyleCnt="3"/>
      <dgm:spPr/>
    </dgm:pt>
    <dgm:pt modelId="{3529C525-9BE9-4292-A436-A2C9AE7471B0}" type="pres">
      <dgm:prSet presAssocID="{081C3557-C51A-4516-A14B-33AEBB17DB39}" presName="parentText" presStyleLbl="node1" presStyleIdx="0" presStyleCnt="3" custScaleX="132632" custScaleY="112403" custLinFactNeighborX="-38475" custLinFactNeighborY="-1460">
        <dgm:presLayoutVars>
          <dgm:chMax val="1"/>
          <dgm:bulletEnabled val="1"/>
        </dgm:presLayoutVars>
      </dgm:prSet>
      <dgm:spPr/>
    </dgm:pt>
    <dgm:pt modelId="{D943B786-FFF0-4B0C-A7BB-32C7516D71BC}" type="pres">
      <dgm:prSet presAssocID="{081C3557-C51A-4516-A14B-33AEBB17DB39}" presName="aSpace" presStyleCnt="0"/>
      <dgm:spPr/>
    </dgm:pt>
    <dgm:pt modelId="{856BA6BE-3EE2-489A-9501-5971212526D7}" type="pres">
      <dgm:prSet presAssocID="{58C87080-E191-4D5F-8B54-500C6A818F9B}" presName="compNode" presStyleCnt="0"/>
      <dgm:spPr/>
    </dgm:pt>
    <dgm:pt modelId="{2FC6CA33-D244-48E9-8882-C2C34292AAEC}" type="pres">
      <dgm:prSet presAssocID="{58C87080-E191-4D5F-8B54-500C6A818F9B}" presName="noGeometry" presStyleCnt="0"/>
      <dgm:spPr/>
    </dgm:pt>
    <dgm:pt modelId="{EE7F8296-58DD-4BD6-A752-42CCD5A9ADC7}" type="pres">
      <dgm:prSet presAssocID="{58C87080-E191-4D5F-8B54-500C6A818F9B}" presName="childTextVisible" presStyleLbl="bgAccFollowNode1" presStyleIdx="1" presStyleCnt="3" custScaleX="118992" custLinFactNeighborX="34556">
        <dgm:presLayoutVars>
          <dgm:bulletEnabled val="1"/>
        </dgm:presLayoutVars>
      </dgm:prSet>
      <dgm:spPr/>
    </dgm:pt>
    <dgm:pt modelId="{D182A2DB-F608-42D7-A180-F5FA724C684F}" type="pres">
      <dgm:prSet presAssocID="{58C87080-E191-4D5F-8B54-500C6A818F9B}" presName="childTextHidden" presStyleLbl="bgAccFollowNode1" presStyleIdx="1" presStyleCnt="3"/>
      <dgm:spPr/>
    </dgm:pt>
    <dgm:pt modelId="{6104D1C3-B46E-4F9D-A97B-1F4442204C91}" type="pres">
      <dgm:prSet presAssocID="{58C87080-E191-4D5F-8B54-500C6A818F9B}" presName="parentText" presStyleLbl="node1" presStyleIdx="1" presStyleCnt="3" custScaleX="145867" custScaleY="115887" custLinFactNeighborX="-813" custLinFactNeighborY="488">
        <dgm:presLayoutVars>
          <dgm:chMax val="1"/>
          <dgm:bulletEnabled val="1"/>
        </dgm:presLayoutVars>
      </dgm:prSet>
      <dgm:spPr/>
    </dgm:pt>
    <dgm:pt modelId="{AADBD843-97B1-4956-BCF3-2FCFDA728031}" type="pres">
      <dgm:prSet presAssocID="{58C87080-E191-4D5F-8B54-500C6A818F9B}" presName="aSpace" presStyleCnt="0"/>
      <dgm:spPr/>
    </dgm:pt>
    <dgm:pt modelId="{5D761E44-4ED6-4B1D-ABDE-1762EE64BA3C}" type="pres">
      <dgm:prSet presAssocID="{6157A8E0-FD98-4E0D-84E0-7D55A5FF97E8}" presName="compNode" presStyleCnt="0"/>
      <dgm:spPr/>
    </dgm:pt>
    <dgm:pt modelId="{F6C55E7F-42CD-435A-A612-6E6A14E5593E}" type="pres">
      <dgm:prSet presAssocID="{6157A8E0-FD98-4E0D-84E0-7D55A5FF97E8}" presName="noGeometry" presStyleCnt="0"/>
      <dgm:spPr/>
    </dgm:pt>
    <dgm:pt modelId="{3F7B5A7D-DCBA-4464-8FC0-73C94D77527A}" type="pres">
      <dgm:prSet presAssocID="{6157A8E0-FD98-4E0D-84E0-7D55A5FF97E8}" presName="childTextVisible" presStyleLbl="bgAccFollowNode1" presStyleIdx="2" presStyleCnt="3" custScaleX="112997" custScaleY="111154" custLinFactNeighborX="13923">
        <dgm:presLayoutVars>
          <dgm:bulletEnabled val="1"/>
        </dgm:presLayoutVars>
      </dgm:prSet>
      <dgm:spPr/>
    </dgm:pt>
    <dgm:pt modelId="{E137C4AE-3407-487D-8071-BE5FDC5A2661}" type="pres">
      <dgm:prSet presAssocID="{6157A8E0-FD98-4E0D-84E0-7D55A5FF97E8}" presName="childTextHidden" presStyleLbl="bgAccFollowNode1" presStyleIdx="2" presStyleCnt="3"/>
      <dgm:spPr/>
    </dgm:pt>
    <dgm:pt modelId="{44EE7161-61B0-4AF1-8E8B-6EDFBD88E68A}" type="pres">
      <dgm:prSet presAssocID="{6157A8E0-FD98-4E0D-84E0-7D55A5FF97E8}" presName="parentText" presStyleLbl="node1" presStyleIdx="2" presStyleCnt="3" custScaleX="150780" custScaleY="112641" custLinFactNeighborX="-28165" custLinFactNeighborY="-9559">
        <dgm:presLayoutVars>
          <dgm:chMax val="1"/>
          <dgm:bulletEnabled val="1"/>
        </dgm:presLayoutVars>
      </dgm:prSet>
      <dgm:spPr/>
    </dgm:pt>
  </dgm:ptLst>
  <dgm:cxnLst>
    <dgm:cxn modelId="{E187CD00-DD4D-47EF-ACF6-ECCEE1B7132F}" type="presOf" srcId="{7EAE927A-6386-4416-A956-9B279727A7F6}" destId="{D838AB92-B5A1-490A-882C-9B39A3AB0FCE}" srcOrd="0" destOrd="0" presId="urn:microsoft.com/office/officeart/2005/8/layout/hProcess6"/>
    <dgm:cxn modelId="{C798C605-DC7D-4B20-8491-F2AF6EE7B157}" srcId="{A4ED5AB6-3CCE-486E-83CB-AEF69539C21F}" destId="{081C3557-C51A-4516-A14B-33AEBB17DB39}" srcOrd="0" destOrd="0" parTransId="{CBF44749-1896-439A-98C5-A9CE9666AD0D}" sibTransId="{3344D1FD-96EC-4788-A6DF-8B1C60E36A64}"/>
    <dgm:cxn modelId="{5C9ED715-718A-48BC-9379-B71D45AA4CC4}" type="presOf" srcId="{3BE6B5EF-541D-40E5-83DD-ECF3B04559E5}" destId="{D182A2DB-F608-42D7-A180-F5FA724C684F}" srcOrd="1" destOrd="0" presId="urn:microsoft.com/office/officeart/2005/8/layout/hProcess6"/>
    <dgm:cxn modelId="{8343E115-98AC-4D72-B378-BA389A3AADF8}" type="presOf" srcId="{30F2A8EC-FBFF-4CAF-868A-3542BDA80D88}" destId="{3F7B5A7D-DCBA-4464-8FC0-73C94D77527A}" srcOrd="0" destOrd="0" presId="urn:microsoft.com/office/officeart/2005/8/layout/hProcess6"/>
    <dgm:cxn modelId="{EF8A951B-98B1-493C-9FD8-7E1FBA44C40D}" type="presOf" srcId="{081C3557-C51A-4516-A14B-33AEBB17DB39}" destId="{3529C525-9BE9-4292-A436-A2C9AE7471B0}" srcOrd="0" destOrd="0" presId="urn:microsoft.com/office/officeart/2005/8/layout/hProcess6"/>
    <dgm:cxn modelId="{D2E51F2D-02B9-4DB5-A11B-24169169222E}" type="presOf" srcId="{30F2A8EC-FBFF-4CAF-868A-3542BDA80D88}" destId="{E137C4AE-3407-487D-8071-BE5FDC5A2661}" srcOrd="1" destOrd="0" presId="urn:microsoft.com/office/officeart/2005/8/layout/hProcess6"/>
    <dgm:cxn modelId="{EF34F964-0C04-4B71-83D6-DB5F5A6588A3}" srcId="{A4ED5AB6-3CCE-486E-83CB-AEF69539C21F}" destId="{6157A8E0-FD98-4E0D-84E0-7D55A5FF97E8}" srcOrd="2" destOrd="0" parTransId="{52AD6137-0187-42FC-9F5D-90F339D111A3}" sibTransId="{BA149F64-5DAE-459D-A99F-0027FAE81AAE}"/>
    <dgm:cxn modelId="{42D5FE6B-78F3-4B09-B7F8-79DA08D670E9}" srcId="{6157A8E0-FD98-4E0D-84E0-7D55A5FF97E8}" destId="{30F2A8EC-FBFF-4CAF-868A-3542BDA80D88}" srcOrd="0" destOrd="0" parTransId="{03B28D15-F28B-4186-9056-B981364C06D1}" sibTransId="{B3F4C868-E52D-45A5-AB54-490AADC59899}"/>
    <dgm:cxn modelId="{10E8606F-6913-42CA-86D3-602F03E10B21}" type="presOf" srcId="{6157A8E0-FD98-4E0D-84E0-7D55A5FF97E8}" destId="{44EE7161-61B0-4AF1-8E8B-6EDFBD88E68A}" srcOrd="0" destOrd="0" presId="urn:microsoft.com/office/officeart/2005/8/layout/hProcess6"/>
    <dgm:cxn modelId="{4F575B56-6B77-4770-89B4-6D802E457E89}" type="presOf" srcId="{3BE6B5EF-541D-40E5-83DD-ECF3B04559E5}" destId="{EE7F8296-58DD-4BD6-A752-42CCD5A9ADC7}" srcOrd="0" destOrd="0" presId="urn:microsoft.com/office/officeart/2005/8/layout/hProcess6"/>
    <dgm:cxn modelId="{6AF96280-4491-4FC4-A55D-8C32CE09439A}" srcId="{081C3557-C51A-4516-A14B-33AEBB17DB39}" destId="{7EAE927A-6386-4416-A956-9B279727A7F6}" srcOrd="0" destOrd="0" parTransId="{98CC4E59-BB2A-47F9-8AF8-D419D2CB4DA3}" sibTransId="{2753C8C2-912B-49C8-8497-815F10AA6CD8}"/>
    <dgm:cxn modelId="{1E51328C-105B-4FA5-A119-6FAF0DBEBC55}" srcId="{58C87080-E191-4D5F-8B54-500C6A818F9B}" destId="{3BE6B5EF-541D-40E5-83DD-ECF3B04559E5}" srcOrd="0" destOrd="0" parTransId="{DE0F84E7-E185-4A23-AE86-15FC91988041}" sibTransId="{B4A0F479-95ED-45A1-B07F-315453693A28}"/>
    <dgm:cxn modelId="{08FF9791-70E2-418A-9098-449154BAB979}" srcId="{A4ED5AB6-3CCE-486E-83CB-AEF69539C21F}" destId="{58C87080-E191-4D5F-8B54-500C6A818F9B}" srcOrd="1" destOrd="0" parTransId="{6D891F7D-5284-4861-B9E3-73AD59B3AE8E}" sibTransId="{2044EDD3-4FF0-4BBD-962A-83EFEEC22671}"/>
    <dgm:cxn modelId="{B7F25CB5-5545-4092-A585-5FDBBCB85D1A}" type="presOf" srcId="{58C87080-E191-4D5F-8B54-500C6A818F9B}" destId="{6104D1C3-B46E-4F9D-A97B-1F4442204C91}" srcOrd="0" destOrd="0" presId="urn:microsoft.com/office/officeart/2005/8/layout/hProcess6"/>
    <dgm:cxn modelId="{96AE76C5-BF70-4367-B1EF-F7DB63CD29EE}" type="presOf" srcId="{A4ED5AB6-3CCE-486E-83CB-AEF69539C21F}" destId="{4C904C7F-3F15-4987-B9B5-99845FA84664}" srcOrd="0" destOrd="0" presId="urn:microsoft.com/office/officeart/2005/8/layout/hProcess6"/>
    <dgm:cxn modelId="{BD2545D0-1E8F-46B8-A9D3-4CA3B62F5892}" type="presOf" srcId="{7EAE927A-6386-4416-A956-9B279727A7F6}" destId="{4F107371-8BF8-4FD9-8ED7-11E173C43E6F}" srcOrd="1" destOrd="0" presId="urn:microsoft.com/office/officeart/2005/8/layout/hProcess6"/>
    <dgm:cxn modelId="{98623632-4A56-4A89-B2D6-A64BC2B81C9D}" type="presParOf" srcId="{4C904C7F-3F15-4987-B9B5-99845FA84664}" destId="{0C7E55B4-3BA5-438A-90D2-B036A7D0C274}" srcOrd="0" destOrd="0" presId="urn:microsoft.com/office/officeart/2005/8/layout/hProcess6"/>
    <dgm:cxn modelId="{0B2AE760-A443-4C79-878F-4BF144B8DC4D}" type="presParOf" srcId="{0C7E55B4-3BA5-438A-90D2-B036A7D0C274}" destId="{20E0759A-3878-4E9F-B92B-53517FD4FE36}" srcOrd="0" destOrd="0" presId="urn:microsoft.com/office/officeart/2005/8/layout/hProcess6"/>
    <dgm:cxn modelId="{7F178F3A-FEDD-4AAD-A36F-0D1F043F7671}" type="presParOf" srcId="{0C7E55B4-3BA5-438A-90D2-B036A7D0C274}" destId="{D838AB92-B5A1-490A-882C-9B39A3AB0FCE}" srcOrd="1" destOrd="0" presId="urn:microsoft.com/office/officeart/2005/8/layout/hProcess6"/>
    <dgm:cxn modelId="{4B0F5121-02BF-4978-9DB2-8231CCC1DBAA}" type="presParOf" srcId="{0C7E55B4-3BA5-438A-90D2-B036A7D0C274}" destId="{4F107371-8BF8-4FD9-8ED7-11E173C43E6F}" srcOrd="2" destOrd="0" presId="urn:microsoft.com/office/officeart/2005/8/layout/hProcess6"/>
    <dgm:cxn modelId="{6299E9E3-F7C3-4A0F-8FE1-258E75D44883}" type="presParOf" srcId="{0C7E55B4-3BA5-438A-90D2-B036A7D0C274}" destId="{3529C525-9BE9-4292-A436-A2C9AE7471B0}" srcOrd="3" destOrd="0" presId="urn:microsoft.com/office/officeart/2005/8/layout/hProcess6"/>
    <dgm:cxn modelId="{6C176EE7-38B4-41B2-8988-FDC5AF49E02E}" type="presParOf" srcId="{4C904C7F-3F15-4987-B9B5-99845FA84664}" destId="{D943B786-FFF0-4B0C-A7BB-32C7516D71BC}" srcOrd="1" destOrd="0" presId="urn:microsoft.com/office/officeart/2005/8/layout/hProcess6"/>
    <dgm:cxn modelId="{7494791A-2882-497D-B293-483482D7C6C9}" type="presParOf" srcId="{4C904C7F-3F15-4987-B9B5-99845FA84664}" destId="{856BA6BE-3EE2-489A-9501-5971212526D7}" srcOrd="2" destOrd="0" presId="urn:microsoft.com/office/officeart/2005/8/layout/hProcess6"/>
    <dgm:cxn modelId="{1098483D-4698-4C95-A47A-D6922DA96171}" type="presParOf" srcId="{856BA6BE-3EE2-489A-9501-5971212526D7}" destId="{2FC6CA33-D244-48E9-8882-C2C34292AAEC}" srcOrd="0" destOrd="0" presId="urn:microsoft.com/office/officeart/2005/8/layout/hProcess6"/>
    <dgm:cxn modelId="{A64D962C-82C5-4303-A38C-B6CA3D73B514}" type="presParOf" srcId="{856BA6BE-3EE2-489A-9501-5971212526D7}" destId="{EE7F8296-58DD-4BD6-A752-42CCD5A9ADC7}" srcOrd="1" destOrd="0" presId="urn:microsoft.com/office/officeart/2005/8/layout/hProcess6"/>
    <dgm:cxn modelId="{30976F7E-1119-4EA8-AD15-9676B700F7E4}" type="presParOf" srcId="{856BA6BE-3EE2-489A-9501-5971212526D7}" destId="{D182A2DB-F608-42D7-A180-F5FA724C684F}" srcOrd="2" destOrd="0" presId="urn:microsoft.com/office/officeart/2005/8/layout/hProcess6"/>
    <dgm:cxn modelId="{E51E181F-1F2C-400F-99F4-9196E003FBE5}" type="presParOf" srcId="{856BA6BE-3EE2-489A-9501-5971212526D7}" destId="{6104D1C3-B46E-4F9D-A97B-1F4442204C91}" srcOrd="3" destOrd="0" presId="urn:microsoft.com/office/officeart/2005/8/layout/hProcess6"/>
    <dgm:cxn modelId="{8775F58B-CB2A-4D88-A765-F0E323D94AA6}" type="presParOf" srcId="{4C904C7F-3F15-4987-B9B5-99845FA84664}" destId="{AADBD843-97B1-4956-BCF3-2FCFDA728031}" srcOrd="3" destOrd="0" presId="urn:microsoft.com/office/officeart/2005/8/layout/hProcess6"/>
    <dgm:cxn modelId="{3A4D20AB-2893-48F6-A097-DA45916DAA53}" type="presParOf" srcId="{4C904C7F-3F15-4987-B9B5-99845FA84664}" destId="{5D761E44-4ED6-4B1D-ABDE-1762EE64BA3C}" srcOrd="4" destOrd="0" presId="urn:microsoft.com/office/officeart/2005/8/layout/hProcess6"/>
    <dgm:cxn modelId="{5B239717-9EF6-4897-B719-7867EA9187DA}" type="presParOf" srcId="{5D761E44-4ED6-4B1D-ABDE-1762EE64BA3C}" destId="{F6C55E7F-42CD-435A-A612-6E6A14E5593E}" srcOrd="0" destOrd="0" presId="urn:microsoft.com/office/officeart/2005/8/layout/hProcess6"/>
    <dgm:cxn modelId="{9027795D-828D-4320-88A1-D1D5D999AB1F}" type="presParOf" srcId="{5D761E44-4ED6-4B1D-ABDE-1762EE64BA3C}" destId="{3F7B5A7D-DCBA-4464-8FC0-73C94D77527A}" srcOrd="1" destOrd="0" presId="urn:microsoft.com/office/officeart/2005/8/layout/hProcess6"/>
    <dgm:cxn modelId="{98C6459F-7EC7-4437-BE91-AF9748607BA1}" type="presParOf" srcId="{5D761E44-4ED6-4B1D-ABDE-1762EE64BA3C}" destId="{E137C4AE-3407-487D-8071-BE5FDC5A2661}" srcOrd="2" destOrd="0" presId="urn:microsoft.com/office/officeart/2005/8/layout/hProcess6"/>
    <dgm:cxn modelId="{1393B29D-86E2-4516-B002-CF3209C9B840}" type="presParOf" srcId="{5D761E44-4ED6-4B1D-ABDE-1762EE64BA3C}" destId="{44EE7161-61B0-4AF1-8E8B-6EDFBD88E68A}" srcOrd="3" destOrd="0" presId="urn:microsoft.com/office/officeart/2005/8/layout/hProcess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09836-D3DB-4464-A2D2-3E07E882C7F0}">
      <dsp:nvSpPr>
        <dsp:cNvPr id="0" name=""/>
        <dsp:cNvSpPr/>
      </dsp:nvSpPr>
      <dsp:spPr>
        <a:xfrm>
          <a:off x="566372" y="68674"/>
          <a:ext cx="1610544" cy="1057845"/>
        </a:xfrm>
        <a:prstGeom prst="rightArrow">
          <a:avLst>
            <a:gd name="adj1" fmla="val 70000"/>
            <a:gd name="adj2" fmla="val 50000"/>
          </a:avLst>
        </a:prstGeom>
        <a:solidFill>
          <a:sysClr val="window" lastClr="FFFFFF">
            <a:lumMod val="85000"/>
          </a:sys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0" lvl="0" indent="0" algn="ctr" defTabSz="355600">
            <a:lnSpc>
              <a:spcPct val="90000"/>
            </a:lnSpc>
            <a:spcBef>
              <a:spcPct val="0"/>
            </a:spcBef>
            <a:spcAft>
              <a:spcPct val="35000"/>
            </a:spcAft>
            <a:buNone/>
          </a:pPr>
          <a:r>
            <a:rPr lang="es-ES" sz="8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             Venta de Pólizas</a:t>
          </a:r>
        </a:p>
      </dsp:txBody>
      <dsp:txXfrm>
        <a:off x="969008" y="227351"/>
        <a:ext cx="837662" cy="740491"/>
      </dsp:txXfrm>
    </dsp:sp>
    <dsp:sp modelId="{7D74BE44-8AC8-4BD7-91DE-B178AACE741C}">
      <dsp:nvSpPr>
        <dsp:cNvPr id="0" name=""/>
        <dsp:cNvSpPr/>
      </dsp:nvSpPr>
      <dsp:spPr>
        <a:xfrm>
          <a:off x="90017" y="264427"/>
          <a:ext cx="1067354" cy="766896"/>
        </a:xfrm>
        <a:prstGeom prst="ellipse">
          <a:avLst/>
        </a:prstGeom>
        <a:solidFill>
          <a:sysClr val="window" lastClr="FFFFFF">
            <a:lumMod val="7500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Entrada</a:t>
          </a:r>
        </a:p>
      </dsp:txBody>
      <dsp:txXfrm>
        <a:off x="246327" y="376736"/>
        <a:ext cx="754734" cy="542278"/>
      </dsp:txXfrm>
    </dsp:sp>
    <dsp:sp modelId="{A2608BB7-2D66-4CCE-82AA-6D0436297182}">
      <dsp:nvSpPr>
        <dsp:cNvPr id="0" name=""/>
        <dsp:cNvSpPr/>
      </dsp:nvSpPr>
      <dsp:spPr>
        <a:xfrm>
          <a:off x="2678353" y="70876"/>
          <a:ext cx="1265192" cy="1038712"/>
        </a:xfrm>
        <a:prstGeom prst="rightArrow">
          <a:avLst>
            <a:gd name="adj1" fmla="val 70000"/>
            <a:gd name="adj2" fmla="val 50000"/>
          </a:avLst>
        </a:prstGeom>
        <a:solidFill>
          <a:srgbClr val="E97132">
            <a:lumMod val="40000"/>
            <a:lumOff val="60000"/>
            <a:alpha val="9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0" lvl="0" indent="0" algn="ctr" defTabSz="400050">
            <a:lnSpc>
              <a:spcPct val="90000"/>
            </a:lnSpc>
            <a:spcBef>
              <a:spcPct val="0"/>
            </a:spcBef>
            <a:spcAft>
              <a:spcPct val="35000"/>
            </a:spcAft>
            <a:buNone/>
          </a:pPr>
          <a:r>
            <a:rPr lang="es-ES" sz="9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Emisión de Pólizas</a:t>
          </a:r>
        </a:p>
      </dsp:txBody>
      <dsp:txXfrm>
        <a:off x="2994651" y="226683"/>
        <a:ext cx="616781" cy="727098"/>
      </dsp:txXfrm>
    </dsp:sp>
    <dsp:sp modelId="{314635BF-A35B-402A-9B57-B8CD58179464}">
      <dsp:nvSpPr>
        <dsp:cNvPr id="0" name=""/>
        <dsp:cNvSpPr/>
      </dsp:nvSpPr>
      <dsp:spPr>
        <a:xfrm>
          <a:off x="1812035" y="242515"/>
          <a:ext cx="963920" cy="676372"/>
        </a:xfrm>
        <a:prstGeom prst="ellipse">
          <a:avLst/>
        </a:prstGeom>
        <a:solidFill>
          <a:srgbClr val="CC99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Transformación</a:t>
          </a:r>
          <a:r>
            <a:rPr lang="es-ES" sz="7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 </a:t>
          </a:r>
          <a:endParaRPr lang="es-ES" sz="105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endParaRPr>
        </a:p>
      </dsp:txBody>
      <dsp:txXfrm>
        <a:off x="1953198" y="341567"/>
        <a:ext cx="681594" cy="478268"/>
      </dsp:txXfrm>
    </dsp:sp>
    <dsp:sp modelId="{09D732BB-B6A4-4110-95B1-300DD44CE9E4}">
      <dsp:nvSpPr>
        <dsp:cNvPr id="0" name=""/>
        <dsp:cNvSpPr/>
      </dsp:nvSpPr>
      <dsp:spPr>
        <a:xfrm>
          <a:off x="4176844" y="18935"/>
          <a:ext cx="1364165" cy="1142593"/>
        </a:xfrm>
        <a:prstGeom prst="rightArrow">
          <a:avLst>
            <a:gd name="adj1" fmla="val 70000"/>
            <a:gd name="adj2" fmla="val 50000"/>
          </a:avLst>
        </a:prstGeom>
        <a:solidFill>
          <a:srgbClr val="0F9ED5">
            <a:lumMod val="60000"/>
            <a:lumOff val="4000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           </a:t>
          </a:r>
          <a:r>
            <a:rPr lang="es-ES" sz="800" b="0"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Cobro de Primas</a:t>
          </a:r>
          <a:endParaRPr lang="es-CO" sz="700" b="0" kern="1200" baseline="30000">
            <a:solidFill>
              <a:srgbClr val="0E2841">
                <a:hueOff val="0"/>
                <a:satOff val="0"/>
                <a:lumOff val="0"/>
                <a:alphaOff val="0"/>
              </a:srgbClr>
            </a:solidFill>
            <a:latin typeface="Arial Narrow" panose="020B0606020202030204" pitchFamily="34" charset="0"/>
            <a:ea typeface="+mn-ea"/>
            <a:cs typeface="+mn-cs"/>
          </a:endParaRPr>
        </a:p>
      </dsp:txBody>
      <dsp:txXfrm>
        <a:off x="4517886" y="190324"/>
        <a:ext cx="665030" cy="799815"/>
      </dsp:txXfrm>
    </dsp:sp>
    <dsp:sp modelId="{C8473763-A3C5-4B06-9165-FE03CD55B318}">
      <dsp:nvSpPr>
        <dsp:cNvPr id="0" name=""/>
        <dsp:cNvSpPr/>
      </dsp:nvSpPr>
      <dsp:spPr>
        <a:xfrm>
          <a:off x="3712976" y="243894"/>
          <a:ext cx="939168" cy="644360"/>
        </a:xfrm>
        <a:prstGeom prst="ellipse">
          <a:avLst/>
        </a:prstGeom>
        <a:solidFill>
          <a:srgbClr val="FF7575"/>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rPr>
            <a:t>Salida</a:t>
          </a:r>
          <a:endParaRPr lang="es-ES" sz="700" b="1" kern="1200" cap="none" spc="0">
            <a:ln w="0"/>
            <a:solidFill>
              <a:srgbClr val="0E2841">
                <a:hueOff val="0"/>
                <a:satOff val="0"/>
                <a:lumOff val="0"/>
                <a:alphaOff val="0"/>
              </a:srgbClr>
            </a:solidFill>
            <a:effectLst>
              <a:outerShdw blurRad="38100" dist="19050" dir="2700000" algn="tl" rotWithShape="0">
                <a:sysClr val="windowText" lastClr="000000">
                  <a:alpha val="40000"/>
                </a:sysClr>
              </a:outerShdw>
            </a:effectLst>
            <a:latin typeface="Arial Narrow" panose="020B0606020202030204" pitchFamily="34" charset="0"/>
            <a:ea typeface="+mn-ea"/>
            <a:cs typeface="+mn-cs"/>
          </a:endParaRPr>
        </a:p>
      </dsp:txBody>
      <dsp:txXfrm>
        <a:off x="3850514" y="338258"/>
        <a:ext cx="664092" cy="4556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38AB92-B5A1-490A-882C-9B39A3AB0FCE}">
      <dsp:nvSpPr>
        <dsp:cNvPr id="0" name=""/>
        <dsp:cNvSpPr/>
      </dsp:nvSpPr>
      <dsp:spPr>
        <a:xfrm>
          <a:off x="528637" y="0"/>
          <a:ext cx="1426914" cy="1085215"/>
        </a:xfrm>
        <a:prstGeom prst="rightArrow">
          <a:avLst>
            <a:gd name="adj1" fmla="val 70000"/>
            <a:gd name="adj2" fmla="val 50000"/>
          </a:avLst>
        </a:prstGeom>
        <a:solidFill>
          <a:srgbClr val="E97132">
            <a:lumMod val="40000"/>
            <a:lumOff val="60000"/>
            <a:alpha val="90000"/>
          </a:srgb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0" lvl="0" indent="0" algn="just" defTabSz="355600">
            <a:lnSpc>
              <a:spcPct val="90000"/>
            </a:lnSpc>
            <a:spcBef>
              <a:spcPct val="0"/>
            </a:spcBef>
            <a:spcAft>
              <a:spcPct val="35000"/>
            </a:spcAft>
            <a:buNone/>
          </a:pPr>
          <a:r>
            <a:rPr lang="es-CO" sz="800" kern="1200" dirty="0">
              <a:solidFill>
                <a:sysClr val="windowText" lastClr="000000">
                  <a:hueOff val="0"/>
                  <a:satOff val="0"/>
                  <a:lumOff val="0"/>
                  <a:alphaOff val="0"/>
                </a:sysClr>
              </a:solidFill>
              <a:latin typeface="Arial Narrow" pitchFamily="34" charset="0"/>
              <a:ea typeface="+mn-ea"/>
              <a:cs typeface="+mn-cs"/>
            </a:rPr>
            <a:t> Aviso de ocurrencia de un siniestro</a:t>
          </a:r>
        </a:p>
      </dsp:txBody>
      <dsp:txXfrm>
        <a:off x="885366" y="162782"/>
        <a:ext cx="695620" cy="759651"/>
      </dsp:txXfrm>
    </dsp:sp>
    <dsp:sp modelId="{3529C525-9BE9-4292-A436-A2C9AE7471B0}">
      <dsp:nvSpPr>
        <dsp:cNvPr id="0" name=""/>
        <dsp:cNvSpPr/>
      </dsp:nvSpPr>
      <dsp:spPr>
        <a:xfrm>
          <a:off x="0" y="184677"/>
          <a:ext cx="823303" cy="697733"/>
        </a:xfrm>
        <a:prstGeom prst="ellipse">
          <a:avLst/>
        </a:prstGeom>
        <a:solidFill>
          <a:srgbClr val="FF9966"/>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es-CO" sz="700" kern="1200" dirty="0">
              <a:solidFill>
                <a:sysClr val="windowText" lastClr="000000">
                  <a:hueOff val="0"/>
                  <a:satOff val="0"/>
                  <a:lumOff val="0"/>
                  <a:alphaOff val="0"/>
                </a:sysClr>
              </a:solidFill>
              <a:latin typeface="Arial Narrow" pitchFamily="34" charset="0"/>
              <a:ea typeface="+mn-ea"/>
              <a:cs typeface="+mn-cs"/>
            </a:rPr>
            <a:t>ENTRADA</a:t>
          </a:r>
          <a:endParaRPr lang="es-CO" sz="800" kern="1200" dirty="0">
            <a:solidFill>
              <a:sysClr val="windowText" lastClr="000000">
                <a:hueOff val="0"/>
                <a:satOff val="0"/>
                <a:lumOff val="0"/>
                <a:alphaOff val="0"/>
              </a:sysClr>
            </a:solidFill>
            <a:latin typeface="Arial Narrow" pitchFamily="34" charset="0"/>
            <a:ea typeface="+mn-ea"/>
            <a:cs typeface="+mn-cs"/>
          </a:endParaRPr>
        </a:p>
      </dsp:txBody>
      <dsp:txXfrm>
        <a:off x="120570" y="286858"/>
        <a:ext cx="582163" cy="493371"/>
      </dsp:txXfrm>
    </dsp:sp>
    <dsp:sp modelId="{EE7F8296-58DD-4BD6-A752-42CCD5A9ADC7}">
      <dsp:nvSpPr>
        <dsp:cNvPr id="0" name=""/>
        <dsp:cNvSpPr/>
      </dsp:nvSpPr>
      <dsp:spPr>
        <a:xfrm>
          <a:off x="2653777" y="0"/>
          <a:ext cx="1477268" cy="1085215"/>
        </a:xfrm>
        <a:prstGeom prst="rightArrow">
          <a:avLst>
            <a:gd name="adj1" fmla="val 70000"/>
            <a:gd name="adj2" fmla="val 50000"/>
          </a:avLst>
        </a:prstGeom>
        <a:solidFill>
          <a:sysClr val="window" lastClr="FFFFFF">
            <a:lumMod val="85000"/>
          </a:sys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0" lvl="0" indent="0" algn="just" defTabSz="311150">
            <a:lnSpc>
              <a:spcPct val="90000"/>
            </a:lnSpc>
            <a:spcBef>
              <a:spcPct val="0"/>
            </a:spcBef>
            <a:spcAft>
              <a:spcPct val="35000"/>
            </a:spcAft>
            <a:buNone/>
          </a:pPr>
          <a:r>
            <a:rPr lang="es-CO" sz="700" kern="1200" dirty="0">
              <a:solidFill>
                <a:sysClr val="windowText" lastClr="000000">
                  <a:hueOff val="0"/>
                  <a:satOff val="0"/>
                  <a:lumOff val="0"/>
                  <a:alphaOff val="0"/>
                </a:sysClr>
              </a:solidFill>
              <a:latin typeface="Arial Narrow" pitchFamily="34" charset="0"/>
              <a:ea typeface="+mn-ea"/>
              <a:cs typeface="+mn-cs"/>
            </a:rPr>
            <a:t>Verificación de documenos  acorde al siniestros</a:t>
          </a:r>
        </a:p>
      </dsp:txBody>
      <dsp:txXfrm>
        <a:off x="3023094" y="162782"/>
        <a:ext cx="728126" cy="759651"/>
      </dsp:txXfrm>
    </dsp:sp>
    <dsp:sp modelId="{6104D1C3-B46E-4F9D-A97B-1F4442204C91}">
      <dsp:nvSpPr>
        <dsp:cNvPr id="0" name=""/>
        <dsp:cNvSpPr/>
      </dsp:nvSpPr>
      <dsp:spPr>
        <a:xfrm>
          <a:off x="1884884" y="185956"/>
          <a:ext cx="905459" cy="719360"/>
        </a:xfrm>
        <a:prstGeom prst="ellipse">
          <a:avLst/>
        </a:prstGeom>
        <a:solidFill>
          <a:srgbClr val="C0C0C0"/>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es-CO" sz="700" kern="1200" baseline="0" dirty="0">
              <a:solidFill>
                <a:sysClr val="windowText" lastClr="000000">
                  <a:hueOff val="0"/>
                  <a:satOff val="0"/>
                  <a:lumOff val="0"/>
                  <a:alphaOff val="0"/>
                </a:sysClr>
              </a:solidFill>
              <a:latin typeface="Arial Narrow" pitchFamily="34" charset="0"/>
              <a:ea typeface="+mn-ea"/>
              <a:cs typeface="+mn-cs"/>
            </a:rPr>
            <a:t>PROCESO</a:t>
          </a:r>
          <a:r>
            <a:rPr lang="es-CO" sz="700" kern="1200" dirty="0">
              <a:solidFill>
                <a:sysClr val="windowText" lastClr="000000">
                  <a:hueOff val="0"/>
                  <a:satOff val="0"/>
                  <a:lumOff val="0"/>
                  <a:alphaOff val="0"/>
                </a:sysClr>
              </a:solidFill>
              <a:latin typeface="Arial Narrow" pitchFamily="34" charset="0"/>
              <a:ea typeface="+mn-ea"/>
              <a:cs typeface="+mn-cs"/>
            </a:rPr>
            <a:t> </a:t>
          </a:r>
        </a:p>
      </dsp:txBody>
      <dsp:txXfrm>
        <a:off x="2017485" y="291304"/>
        <a:ext cx="640257" cy="508664"/>
      </dsp:txXfrm>
    </dsp:sp>
    <dsp:sp modelId="{3F7B5A7D-DCBA-4464-8FC0-73C94D77527A}">
      <dsp:nvSpPr>
        <dsp:cNvPr id="0" name=""/>
        <dsp:cNvSpPr/>
      </dsp:nvSpPr>
      <dsp:spPr>
        <a:xfrm>
          <a:off x="4233418" y="-60522"/>
          <a:ext cx="1402841" cy="1206259"/>
        </a:xfrm>
        <a:prstGeom prst="rightArrow">
          <a:avLst>
            <a:gd name="adj1" fmla="val 70000"/>
            <a:gd name="adj2" fmla="val 50000"/>
          </a:avLst>
        </a:prstGeom>
        <a:solidFill>
          <a:srgbClr val="0F9ED5">
            <a:lumMod val="40000"/>
            <a:lumOff val="60000"/>
            <a:alpha val="90000"/>
          </a:srgbClr>
        </a:solidFill>
        <a:ln w="12700" cap="flat" cmpd="sng" algn="ctr">
          <a:solidFill>
            <a:sysClr val="windowText" lastClr="000000">
              <a:alpha val="9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0" lvl="0" indent="0" algn="just" defTabSz="355600">
            <a:lnSpc>
              <a:spcPct val="90000"/>
            </a:lnSpc>
            <a:spcBef>
              <a:spcPct val="0"/>
            </a:spcBef>
            <a:spcAft>
              <a:spcPct val="35000"/>
            </a:spcAft>
            <a:buNone/>
          </a:pPr>
          <a:r>
            <a:rPr lang="es-CO" sz="800" b="0" kern="1200" dirty="0">
              <a:solidFill>
                <a:sysClr val="windowText" lastClr="000000">
                  <a:hueOff val="0"/>
                  <a:satOff val="0"/>
                  <a:lumOff val="0"/>
                  <a:alphaOff val="0"/>
                </a:sysClr>
              </a:solidFill>
              <a:latin typeface="Arial Narrow" panose="020B0606020202030204" pitchFamily="34" charset="0"/>
              <a:ea typeface="+mn-ea"/>
              <a:cs typeface="+mn-cs"/>
            </a:rPr>
            <a:t>Indemnización del siniestro</a:t>
          </a:r>
        </a:p>
      </dsp:txBody>
      <dsp:txXfrm>
        <a:off x="4584128" y="120417"/>
        <a:ext cx="683885" cy="844381"/>
      </dsp:txXfrm>
    </dsp:sp>
    <dsp:sp modelId="{44EE7161-61B0-4AF1-8E8B-6EDFBD88E68A}">
      <dsp:nvSpPr>
        <dsp:cNvPr id="0" name=""/>
        <dsp:cNvSpPr/>
      </dsp:nvSpPr>
      <dsp:spPr>
        <a:xfrm>
          <a:off x="3606603" y="133665"/>
          <a:ext cx="935956" cy="699211"/>
        </a:xfrm>
        <a:prstGeom prst="ellipse">
          <a:avLst/>
        </a:prstGeom>
        <a:solidFill>
          <a:srgbClr val="FFFF99"/>
        </a:solidFill>
        <a:ln w="19050" cap="flat" cmpd="sng" algn="ctr">
          <a:solidFill>
            <a:sysClr val="windowText" lastClr="000000">
              <a:shade val="80000"/>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just" defTabSz="311150">
            <a:lnSpc>
              <a:spcPct val="90000"/>
            </a:lnSpc>
            <a:spcBef>
              <a:spcPct val="0"/>
            </a:spcBef>
            <a:spcAft>
              <a:spcPct val="35000"/>
            </a:spcAft>
            <a:buNone/>
          </a:pPr>
          <a:r>
            <a:rPr lang="es-CO" sz="700" kern="1200" dirty="0">
              <a:solidFill>
                <a:sysClr val="windowText" lastClr="000000">
                  <a:hueOff val="0"/>
                  <a:satOff val="0"/>
                  <a:lumOff val="0"/>
                  <a:alphaOff val="0"/>
                </a:sysClr>
              </a:solidFill>
              <a:latin typeface="Arial Narrow" pitchFamily="34" charset="0"/>
              <a:ea typeface="+mn-ea"/>
              <a:cs typeface="+mn-cs"/>
            </a:rPr>
            <a:t>SALIDA</a:t>
          </a:r>
        </a:p>
      </dsp:txBody>
      <dsp:txXfrm>
        <a:off x="3743671" y="236062"/>
        <a:ext cx="661820" cy="49441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354</TotalTime>
  <Pages>92</Pages>
  <Words>26912</Words>
  <Characters>148022</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Milena Cubillos Gonzalez</dc:creator>
  <cp:keywords/>
  <dc:description/>
  <cp:lastModifiedBy>jargu@jargu.com</cp:lastModifiedBy>
  <cp:revision>101</cp:revision>
  <dcterms:created xsi:type="dcterms:W3CDTF">2024-06-18T18:58:00Z</dcterms:created>
  <dcterms:modified xsi:type="dcterms:W3CDTF">2024-06-21T22:05:00Z</dcterms:modified>
</cp:coreProperties>
</file>